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6CAB" w14:textId="55A4CF2A" w:rsidR="005E5EC9" w:rsidRDefault="004F135E" w:rsidP="005E5EC9">
      <w:pPr>
        <w:pStyle w:val="NoSpacing"/>
        <w:jc w:val="center"/>
      </w:pPr>
      <w:r>
        <w:t>FY</w:t>
      </w:r>
      <w:r w:rsidR="0075510E">
        <w:t>21</w:t>
      </w:r>
      <w:r>
        <w:t xml:space="preserve"> </w:t>
      </w:r>
      <w:r w:rsidR="00537511">
        <w:t xml:space="preserve">Phys Comp </w:t>
      </w:r>
      <w:r w:rsidR="00F46FF2">
        <w:t>156</w:t>
      </w:r>
      <w:r w:rsidR="00537511">
        <w:t>:</w:t>
      </w:r>
      <w:r w:rsidR="004252FA">
        <w:t xml:space="preserve"> </w:t>
      </w:r>
      <w:r w:rsidR="0075510E">
        <w:t>Intraop Antibiotic Redosing</w:t>
      </w:r>
      <w:r w:rsidR="00F46FF2">
        <w:t xml:space="preserve"> Quality Measure</w:t>
      </w:r>
      <w:r w:rsidR="00537511">
        <w:t xml:space="preserve"> </w:t>
      </w:r>
    </w:p>
    <w:p w14:paraId="42C28EC6" w14:textId="77777777" w:rsidR="005E5EC9" w:rsidRDefault="005E5EC9" w:rsidP="005E5EC9">
      <w:pPr>
        <w:pStyle w:val="NoSpacing"/>
        <w:jc w:val="center"/>
      </w:pPr>
      <w:r>
        <w:t>Dept. of Anesthesiology – BSW Central TX</w:t>
      </w:r>
    </w:p>
    <w:p w14:paraId="3CEC13AD" w14:textId="77777777" w:rsidR="0013740F" w:rsidRDefault="0013740F" w:rsidP="005E5EC9">
      <w:pPr>
        <w:pStyle w:val="NoSpacing"/>
        <w:jc w:val="center"/>
      </w:pPr>
    </w:p>
    <w:p w14:paraId="47BBB435" w14:textId="25895C68" w:rsidR="0013740F" w:rsidRDefault="004F3FD0" w:rsidP="005E5EC9">
      <w:pPr>
        <w:pStyle w:val="NoSpacing"/>
        <w:jc w:val="center"/>
      </w:pPr>
      <w:r>
        <w:t xml:space="preserve">Revised </w:t>
      </w:r>
      <w:r w:rsidR="001E585F">
        <w:t>11</w:t>
      </w:r>
      <w:r w:rsidR="003F098A">
        <w:t>/</w:t>
      </w:r>
      <w:r w:rsidR="001E585F">
        <w:t>05</w:t>
      </w:r>
      <w:r w:rsidR="00803AFE">
        <w:t>/</w:t>
      </w:r>
      <w:r w:rsidR="00E93902">
        <w:t>20</w:t>
      </w:r>
      <w:r w:rsidR="00803AFE">
        <w:t>20</w:t>
      </w:r>
      <w:r w:rsidR="003F098A">
        <w:t>: BBVacula</w:t>
      </w:r>
    </w:p>
    <w:p w14:paraId="06FD1F5D" w14:textId="77777777" w:rsidR="00840612" w:rsidRDefault="00840612" w:rsidP="00840612">
      <w:pPr>
        <w:pStyle w:val="NoSpacing"/>
        <w:rPr>
          <w:b/>
        </w:rPr>
      </w:pPr>
    </w:p>
    <w:p w14:paraId="37A8D88D" w14:textId="4F6A5BE6" w:rsidR="00CB0812" w:rsidRPr="00CB0812" w:rsidRDefault="00383623" w:rsidP="00840612">
      <w:pPr>
        <w:pStyle w:val="NoSpacing"/>
      </w:pPr>
      <w:r w:rsidRPr="00537511">
        <w:rPr>
          <w:b/>
        </w:rPr>
        <w:t>Title</w:t>
      </w:r>
      <w:r w:rsidR="00CB0812">
        <w:t xml:space="preserve">: </w:t>
      </w:r>
      <w:r w:rsidR="00F46FF2">
        <w:t xml:space="preserve">156: </w:t>
      </w:r>
      <w:r w:rsidR="0075510E">
        <w:t>Intraoperative Antibiotic Redosing</w:t>
      </w:r>
    </w:p>
    <w:p w14:paraId="638861AD" w14:textId="77777777" w:rsidR="00CB0812" w:rsidRPr="00840612" w:rsidRDefault="00CB0812" w:rsidP="00840612">
      <w:pPr>
        <w:pStyle w:val="NoSpacing"/>
        <w:rPr>
          <w:b/>
        </w:rPr>
      </w:pPr>
    </w:p>
    <w:p w14:paraId="02181C7E" w14:textId="77777777" w:rsidR="0075510E" w:rsidRDefault="00537511" w:rsidP="0075510E">
      <w:pPr>
        <w:autoSpaceDE w:val="0"/>
        <w:autoSpaceDN w:val="0"/>
        <w:adjustRightInd w:val="0"/>
      </w:pPr>
      <w:r>
        <w:rPr>
          <w:b/>
        </w:rPr>
        <w:t>Description</w:t>
      </w:r>
      <w:r>
        <w:t>:</w:t>
      </w:r>
      <w:r w:rsidR="00840612">
        <w:t xml:space="preserve"> </w:t>
      </w:r>
      <w:r w:rsidR="00C22728">
        <w:t xml:space="preserve"> </w:t>
      </w:r>
    </w:p>
    <w:p w14:paraId="7209BDCD" w14:textId="77777777" w:rsidR="00EC249C" w:rsidRPr="0075510E" w:rsidRDefault="004E4B43" w:rsidP="0075510E">
      <w:pPr>
        <w:pStyle w:val="NoSpacing"/>
      </w:pPr>
      <w:r>
        <w:t>Percentage of patients, aged 2</w:t>
      </w:r>
      <w:r w:rsidR="0075510E" w:rsidRPr="0075510E">
        <w:t xml:space="preserve"> years and older, who received preoperative antibiotic prophylaxis within</w:t>
      </w:r>
      <w:r w:rsidR="0075510E">
        <w:t xml:space="preserve"> 60 minutes prior to incision and undergo a procedure &gt; 2 hours </w:t>
      </w:r>
      <w:r w:rsidR="0075510E" w:rsidRPr="0075510E">
        <w:t>who received intraoperative antibiotic</w:t>
      </w:r>
      <w:r w:rsidR="0075510E">
        <w:t xml:space="preserve"> redosing at a maximum interval </w:t>
      </w:r>
      <w:r w:rsidR="0075510E" w:rsidRPr="0075510E">
        <w:t>of two half-lives of the selected prophylacti</w:t>
      </w:r>
      <w:r w:rsidR="0075510E">
        <w:t>c antibiotic until surgery</w:t>
      </w:r>
      <w:r w:rsidR="0075510E" w:rsidRPr="0075510E">
        <w:t xml:space="preserve"> end time.</w:t>
      </w:r>
    </w:p>
    <w:p w14:paraId="7AC34BDF" w14:textId="77777777" w:rsidR="0075510E" w:rsidRDefault="0075510E" w:rsidP="00840612">
      <w:pPr>
        <w:pStyle w:val="NoSpacing"/>
        <w:rPr>
          <w:b/>
        </w:rPr>
      </w:pPr>
    </w:p>
    <w:p w14:paraId="3142983C" w14:textId="77777777" w:rsidR="00FB524E" w:rsidRDefault="00FB524E" w:rsidP="00840612">
      <w:pPr>
        <w:pStyle w:val="NoSpacing"/>
      </w:pPr>
      <w:r w:rsidRPr="00537511">
        <w:rPr>
          <w:b/>
        </w:rPr>
        <w:t>Type</w:t>
      </w:r>
      <w:r>
        <w:t xml:space="preserve">: </w:t>
      </w:r>
      <w:r w:rsidR="00C22728">
        <w:t xml:space="preserve"> </w:t>
      </w:r>
      <w:r w:rsidR="0075510E">
        <w:t>Group process</w:t>
      </w:r>
      <w:r w:rsidR="0013740F">
        <w:t xml:space="preserve"> m</w:t>
      </w:r>
      <w:r w:rsidR="00C22728">
        <w:t>easure</w:t>
      </w:r>
      <w:r w:rsidR="001F4278">
        <w:t xml:space="preserve"> by region</w:t>
      </w:r>
    </w:p>
    <w:p w14:paraId="62D6F0C3" w14:textId="77777777" w:rsidR="00FB524E" w:rsidRDefault="00FB524E" w:rsidP="00840612">
      <w:pPr>
        <w:pStyle w:val="NoSpacing"/>
      </w:pPr>
    </w:p>
    <w:p w14:paraId="3C3AEB9E" w14:textId="77777777" w:rsidR="00945B36" w:rsidRDefault="00FB524E" w:rsidP="005A19B7">
      <w:pPr>
        <w:autoSpaceDE w:val="0"/>
        <w:autoSpaceDN w:val="0"/>
      </w:pPr>
      <w:r w:rsidRPr="00537511">
        <w:rPr>
          <w:b/>
        </w:rPr>
        <w:t>Denominator</w:t>
      </w:r>
      <w:r>
        <w:t>:</w:t>
      </w:r>
      <w:r w:rsidR="00C22728">
        <w:t xml:space="preserve">  </w:t>
      </w:r>
    </w:p>
    <w:p w14:paraId="3B6DDF59" w14:textId="77777777" w:rsidR="001F4278" w:rsidRDefault="001F4278" w:rsidP="005A19B7">
      <w:pPr>
        <w:autoSpaceDE w:val="0"/>
        <w:autoSpaceDN w:val="0"/>
        <w:rPr>
          <w:sz w:val="23"/>
          <w:szCs w:val="23"/>
        </w:rPr>
      </w:pPr>
      <w:r>
        <w:rPr>
          <w:sz w:val="23"/>
          <w:szCs w:val="23"/>
        </w:rPr>
        <w:t>All patients</w:t>
      </w:r>
      <w:r w:rsidR="00945B36">
        <w:rPr>
          <w:sz w:val="23"/>
          <w:szCs w:val="23"/>
        </w:rPr>
        <w:t xml:space="preserve">, </w:t>
      </w:r>
      <w:r>
        <w:rPr>
          <w:sz w:val="23"/>
          <w:szCs w:val="23"/>
        </w:rPr>
        <w:t>age</w:t>
      </w:r>
      <w:r w:rsidR="004E4B43">
        <w:rPr>
          <w:sz w:val="23"/>
          <w:szCs w:val="23"/>
        </w:rPr>
        <w:t>d 2</w:t>
      </w:r>
      <w:r w:rsidR="00945B36">
        <w:rPr>
          <w:sz w:val="23"/>
          <w:szCs w:val="23"/>
        </w:rPr>
        <w:t xml:space="preserve"> years and older</w:t>
      </w:r>
      <w:r>
        <w:rPr>
          <w:sz w:val="23"/>
          <w:szCs w:val="23"/>
        </w:rPr>
        <w:t xml:space="preserve">, who </w:t>
      </w:r>
      <w:r w:rsidR="00945B36">
        <w:rPr>
          <w:sz w:val="23"/>
          <w:szCs w:val="23"/>
        </w:rPr>
        <w:t>received preoperative antibiotic prophylaxis within 60 minutes prior to incision and undergo a procedure &gt; 2 hours long.</w:t>
      </w:r>
    </w:p>
    <w:p w14:paraId="011E1B33" w14:textId="77777777" w:rsidR="00945B36" w:rsidRDefault="00945B36" w:rsidP="005A19B7">
      <w:pPr>
        <w:autoSpaceDE w:val="0"/>
        <w:autoSpaceDN w:val="0"/>
        <w:rPr>
          <w:sz w:val="23"/>
          <w:szCs w:val="23"/>
        </w:rPr>
      </w:pPr>
    </w:p>
    <w:p w14:paraId="7B061A0A" w14:textId="77777777" w:rsidR="00945B36" w:rsidRDefault="00945B36" w:rsidP="005A19B7">
      <w:pPr>
        <w:autoSpaceDE w:val="0"/>
        <w:autoSpaceDN w:val="0"/>
        <w:rPr>
          <w:sz w:val="23"/>
          <w:szCs w:val="23"/>
        </w:rPr>
      </w:pPr>
      <w:r>
        <w:rPr>
          <w:sz w:val="23"/>
          <w:szCs w:val="23"/>
        </w:rPr>
        <w:t>For the purpose of this measure, preoperative antibiotic prophylaxis includes prophylaxis with the following antimicrobial agents:</w:t>
      </w:r>
    </w:p>
    <w:p w14:paraId="3421D969" w14:textId="77777777" w:rsidR="00945B36" w:rsidRDefault="00945B36" w:rsidP="00945B36">
      <w:pPr>
        <w:pStyle w:val="ListParagraph"/>
        <w:numPr>
          <w:ilvl w:val="0"/>
          <w:numId w:val="4"/>
        </w:numPr>
        <w:autoSpaceDE w:val="0"/>
        <w:autoSpaceDN w:val="0"/>
        <w:rPr>
          <w:sz w:val="23"/>
          <w:szCs w:val="23"/>
        </w:rPr>
      </w:pPr>
      <w:r>
        <w:rPr>
          <w:sz w:val="23"/>
          <w:szCs w:val="23"/>
        </w:rPr>
        <w:t>Ampicillin-sulbactam</w:t>
      </w:r>
    </w:p>
    <w:p w14:paraId="119E6631" w14:textId="77777777" w:rsidR="00945B36" w:rsidRDefault="00945B36" w:rsidP="00945B36">
      <w:pPr>
        <w:pStyle w:val="ListParagraph"/>
        <w:numPr>
          <w:ilvl w:val="0"/>
          <w:numId w:val="4"/>
        </w:numPr>
        <w:autoSpaceDE w:val="0"/>
        <w:autoSpaceDN w:val="0"/>
        <w:rPr>
          <w:sz w:val="23"/>
          <w:szCs w:val="23"/>
        </w:rPr>
      </w:pPr>
      <w:r>
        <w:rPr>
          <w:sz w:val="23"/>
          <w:szCs w:val="23"/>
        </w:rPr>
        <w:t>Ampicillin</w:t>
      </w:r>
    </w:p>
    <w:p w14:paraId="04C31F80" w14:textId="77777777" w:rsidR="00945B36" w:rsidRDefault="00945B36" w:rsidP="00945B36">
      <w:pPr>
        <w:pStyle w:val="ListParagraph"/>
        <w:numPr>
          <w:ilvl w:val="0"/>
          <w:numId w:val="4"/>
        </w:numPr>
        <w:autoSpaceDE w:val="0"/>
        <w:autoSpaceDN w:val="0"/>
        <w:rPr>
          <w:sz w:val="23"/>
          <w:szCs w:val="23"/>
        </w:rPr>
      </w:pPr>
      <w:r>
        <w:rPr>
          <w:sz w:val="23"/>
          <w:szCs w:val="23"/>
        </w:rPr>
        <w:t>Aztreonam</w:t>
      </w:r>
    </w:p>
    <w:p w14:paraId="4C9C1FBB" w14:textId="77777777" w:rsidR="00945B36" w:rsidRDefault="00945B36" w:rsidP="00945B36">
      <w:pPr>
        <w:pStyle w:val="ListParagraph"/>
        <w:numPr>
          <w:ilvl w:val="0"/>
          <w:numId w:val="4"/>
        </w:numPr>
        <w:autoSpaceDE w:val="0"/>
        <w:autoSpaceDN w:val="0"/>
        <w:rPr>
          <w:sz w:val="23"/>
          <w:szCs w:val="23"/>
        </w:rPr>
      </w:pPr>
      <w:r>
        <w:rPr>
          <w:sz w:val="23"/>
          <w:szCs w:val="23"/>
        </w:rPr>
        <w:t>Cefazolin</w:t>
      </w:r>
    </w:p>
    <w:p w14:paraId="1C7A258C" w14:textId="77777777" w:rsidR="00945B36" w:rsidRDefault="00945B36" w:rsidP="00945B36">
      <w:pPr>
        <w:pStyle w:val="ListParagraph"/>
        <w:numPr>
          <w:ilvl w:val="0"/>
          <w:numId w:val="4"/>
        </w:numPr>
        <w:autoSpaceDE w:val="0"/>
        <w:autoSpaceDN w:val="0"/>
        <w:rPr>
          <w:sz w:val="23"/>
          <w:szCs w:val="23"/>
        </w:rPr>
      </w:pPr>
      <w:r>
        <w:rPr>
          <w:sz w:val="23"/>
          <w:szCs w:val="23"/>
        </w:rPr>
        <w:t>Cefuroxime</w:t>
      </w:r>
    </w:p>
    <w:p w14:paraId="14FF32D2" w14:textId="77777777" w:rsidR="00945B36" w:rsidRDefault="00945B36" w:rsidP="00945B36">
      <w:pPr>
        <w:pStyle w:val="ListParagraph"/>
        <w:numPr>
          <w:ilvl w:val="0"/>
          <w:numId w:val="4"/>
        </w:numPr>
        <w:autoSpaceDE w:val="0"/>
        <w:autoSpaceDN w:val="0"/>
        <w:rPr>
          <w:sz w:val="23"/>
          <w:szCs w:val="23"/>
        </w:rPr>
      </w:pPr>
      <w:r>
        <w:rPr>
          <w:sz w:val="23"/>
          <w:szCs w:val="23"/>
        </w:rPr>
        <w:t>Cefotaxime</w:t>
      </w:r>
    </w:p>
    <w:p w14:paraId="1D4D564B" w14:textId="77777777" w:rsidR="00945B36" w:rsidRDefault="00945B36" w:rsidP="00945B36">
      <w:pPr>
        <w:pStyle w:val="ListParagraph"/>
        <w:numPr>
          <w:ilvl w:val="0"/>
          <w:numId w:val="4"/>
        </w:numPr>
        <w:autoSpaceDE w:val="0"/>
        <w:autoSpaceDN w:val="0"/>
        <w:rPr>
          <w:sz w:val="23"/>
          <w:szCs w:val="23"/>
        </w:rPr>
      </w:pPr>
      <w:r>
        <w:rPr>
          <w:sz w:val="23"/>
          <w:szCs w:val="23"/>
        </w:rPr>
        <w:t>Cefoxitin</w:t>
      </w:r>
    </w:p>
    <w:p w14:paraId="3AF430F8" w14:textId="77777777" w:rsidR="00945B36" w:rsidRDefault="00945B36" w:rsidP="00945B36">
      <w:pPr>
        <w:pStyle w:val="ListParagraph"/>
        <w:numPr>
          <w:ilvl w:val="0"/>
          <w:numId w:val="4"/>
        </w:numPr>
        <w:autoSpaceDE w:val="0"/>
        <w:autoSpaceDN w:val="0"/>
        <w:rPr>
          <w:sz w:val="23"/>
          <w:szCs w:val="23"/>
        </w:rPr>
      </w:pPr>
      <w:r>
        <w:rPr>
          <w:sz w:val="23"/>
          <w:szCs w:val="23"/>
        </w:rPr>
        <w:t>Cefotetan</w:t>
      </w:r>
    </w:p>
    <w:p w14:paraId="45077D00" w14:textId="77777777" w:rsidR="00945B36" w:rsidRDefault="00945B36" w:rsidP="00945B36">
      <w:pPr>
        <w:pStyle w:val="ListParagraph"/>
        <w:numPr>
          <w:ilvl w:val="0"/>
          <w:numId w:val="4"/>
        </w:numPr>
        <w:autoSpaceDE w:val="0"/>
        <w:autoSpaceDN w:val="0"/>
        <w:rPr>
          <w:sz w:val="23"/>
          <w:szCs w:val="23"/>
        </w:rPr>
      </w:pPr>
      <w:r>
        <w:rPr>
          <w:sz w:val="23"/>
          <w:szCs w:val="23"/>
        </w:rPr>
        <w:t>Clindamycin</w:t>
      </w:r>
    </w:p>
    <w:p w14:paraId="4B5339D9" w14:textId="77777777" w:rsidR="00945B36" w:rsidRPr="00945B36" w:rsidRDefault="00945B36" w:rsidP="00945B36">
      <w:pPr>
        <w:pStyle w:val="ListParagraph"/>
        <w:numPr>
          <w:ilvl w:val="0"/>
          <w:numId w:val="4"/>
        </w:numPr>
        <w:autoSpaceDE w:val="0"/>
        <w:autoSpaceDN w:val="0"/>
        <w:rPr>
          <w:sz w:val="23"/>
          <w:szCs w:val="23"/>
        </w:rPr>
      </w:pPr>
      <w:r>
        <w:rPr>
          <w:sz w:val="23"/>
          <w:szCs w:val="23"/>
        </w:rPr>
        <w:t>Piperacillin-tazobactam</w:t>
      </w:r>
    </w:p>
    <w:p w14:paraId="52DF134C" w14:textId="77777777" w:rsidR="00FB524E" w:rsidRDefault="00FB524E" w:rsidP="00840612">
      <w:pPr>
        <w:pStyle w:val="NoSpacing"/>
      </w:pPr>
      <w:r>
        <w:tab/>
      </w:r>
      <w:r>
        <w:tab/>
      </w:r>
    </w:p>
    <w:p w14:paraId="52F41FCD" w14:textId="77777777" w:rsidR="00FB524E" w:rsidRDefault="00FB524E" w:rsidP="00BB7E79">
      <w:pPr>
        <w:autoSpaceDE w:val="0"/>
        <w:autoSpaceDN w:val="0"/>
      </w:pPr>
      <w:r w:rsidRPr="00537511">
        <w:rPr>
          <w:b/>
        </w:rPr>
        <w:t>Numerator</w:t>
      </w:r>
      <w:r>
        <w:t>:</w:t>
      </w:r>
      <w:r w:rsidR="00C22728">
        <w:t xml:space="preserve">  </w:t>
      </w:r>
    </w:p>
    <w:p w14:paraId="7A74E977" w14:textId="77777777" w:rsidR="00475BD1" w:rsidRDefault="00BB7E79" w:rsidP="00BB7E79">
      <w:pPr>
        <w:autoSpaceDE w:val="0"/>
        <w:autoSpaceDN w:val="0"/>
      </w:pPr>
      <w:r>
        <w:t>Patients who received intraoperative redosing of prophylactic antibiotics at a maximum interval of two half</w:t>
      </w:r>
      <w:r w:rsidR="002A0E92">
        <w:t>-lives of the selected prophylac</w:t>
      </w:r>
      <w:r>
        <w:t>tic antibiotic.</w:t>
      </w:r>
      <w:r w:rsidR="00475BD1">
        <w:t xml:space="preserve">  </w:t>
      </w:r>
    </w:p>
    <w:p w14:paraId="722D6CF1" w14:textId="77777777" w:rsidR="00475BD1" w:rsidRDefault="00475BD1" w:rsidP="00BB7E79">
      <w:pPr>
        <w:autoSpaceDE w:val="0"/>
        <w:autoSpaceDN w:val="0"/>
      </w:pPr>
    </w:p>
    <w:p w14:paraId="53B95D59" w14:textId="77777777" w:rsidR="00BB7E79" w:rsidRDefault="00475BD1" w:rsidP="00BB7E79">
      <w:pPr>
        <w:autoSpaceDE w:val="0"/>
        <w:autoSpaceDN w:val="0"/>
      </w:pPr>
      <w:r>
        <w:t>Numerator Note:  If multiple redosing windows pass during a procedure, the recommended redosing window is the maximum amount of time that can pass between any two doses in order to meet this measure.</w:t>
      </w:r>
    </w:p>
    <w:p w14:paraId="093F0CA8" w14:textId="77777777" w:rsidR="00475BD1" w:rsidRDefault="00475BD1" w:rsidP="00BB7E79">
      <w:pPr>
        <w:autoSpaceDE w:val="0"/>
        <w:autoSpaceDN w:val="0"/>
      </w:pPr>
    </w:p>
    <w:p w14:paraId="52D53D08" w14:textId="37674299" w:rsidR="00475BD1" w:rsidRDefault="00475BD1" w:rsidP="00BB7E79">
      <w:pPr>
        <w:autoSpaceDE w:val="0"/>
        <w:autoSpaceDN w:val="0"/>
      </w:pPr>
      <w:r>
        <w:t>Maximum redosing intervals</w:t>
      </w:r>
      <w:r w:rsidR="00E93902">
        <w:t xml:space="preserve"> (two half-lives)</w:t>
      </w:r>
      <w:r>
        <w:t xml:space="preserve"> for included antibiotics:</w:t>
      </w:r>
    </w:p>
    <w:p w14:paraId="599337FE" w14:textId="5B3353D6" w:rsidR="00475BD1" w:rsidRDefault="00475BD1" w:rsidP="00475BD1">
      <w:pPr>
        <w:pStyle w:val="ListParagraph"/>
        <w:numPr>
          <w:ilvl w:val="0"/>
          <w:numId w:val="5"/>
        </w:numPr>
        <w:autoSpaceDE w:val="0"/>
        <w:autoSpaceDN w:val="0"/>
      </w:pPr>
      <w:r>
        <w:t>Ampicillin-sulbactam</w:t>
      </w:r>
      <w:r w:rsidR="00E93902">
        <w:t xml:space="preserve"> (Unasyn)</w:t>
      </w:r>
      <w:r>
        <w:t>: 2 hours</w:t>
      </w:r>
    </w:p>
    <w:p w14:paraId="7FD7EE2D" w14:textId="77777777" w:rsidR="00475BD1" w:rsidRDefault="00475BD1" w:rsidP="00475BD1">
      <w:pPr>
        <w:pStyle w:val="ListParagraph"/>
        <w:numPr>
          <w:ilvl w:val="0"/>
          <w:numId w:val="5"/>
        </w:numPr>
        <w:autoSpaceDE w:val="0"/>
        <w:autoSpaceDN w:val="0"/>
      </w:pPr>
      <w:r>
        <w:t>Ampicillin: 2 hours</w:t>
      </w:r>
    </w:p>
    <w:p w14:paraId="19D92B90" w14:textId="77777777" w:rsidR="00475BD1" w:rsidRDefault="00475BD1" w:rsidP="00475BD1">
      <w:pPr>
        <w:pStyle w:val="ListParagraph"/>
        <w:numPr>
          <w:ilvl w:val="0"/>
          <w:numId w:val="5"/>
        </w:numPr>
        <w:autoSpaceDE w:val="0"/>
        <w:autoSpaceDN w:val="0"/>
      </w:pPr>
      <w:r>
        <w:t>Aztreonam: 4 hours</w:t>
      </w:r>
    </w:p>
    <w:p w14:paraId="3B68E67D" w14:textId="77777777" w:rsidR="00475BD1" w:rsidRDefault="00475BD1" w:rsidP="00475BD1">
      <w:pPr>
        <w:pStyle w:val="ListParagraph"/>
        <w:numPr>
          <w:ilvl w:val="0"/>
          <w:numId w:val="5"/>
        </w:numPr>
        <w:autoSpaceDE w:val="0"/>
        <w:autoSpaceDN w:val="0"/>
      </w:pPr>
      <w:r>
        <w:t>Cefazolin: 4 hours</w:t>
      </w:r>
    </w:p>
    <w:p w14:paraId="425F2592" w14:textId="77777777" w:rsidR="00475BD1" w:rsidRDefault="00475BD1" w:rsidP="00475BD1">
      <w:pPr>
        <w:pStyle w:val="ListParagraph"/>
        <w:numPr>
          <w:ilvl w:val="0"/>
          <w:numId w:val="5"/>
        </w:numPr>
        <w:autoSpaceDE w:val="0"/>
        <w:autoSpaceDN w:val="0"/>
      </w:pPr>
      <w:r>
        <w:t>Cefuroxime: 4 hours</w:t>
      </w:r>
    </w:p>
    <w:p w14:paraId="57313BE9" w14:textId="77777777" w:rsidR="00475BD1" w:rsidRDefault="00475BD1" w:rsidP="00475BD1">
      <w:pPr>
        <w:pStyle w:val="ListParagraph"/>
        <w:numPr>
          <w:ilvl w:val="0"/>
          <w:numId w:val="5"/>
        </w:numPr>
        <w:autoSpaceDE w:val="0"/>
        <w:autoSpaceDN w:val="0"/>
      </w:pPr>
      <w:r>
        <w:lastRenderedPageBreak/>
        <w:t>Cefotaxime: 3 hours</w:t>
      </w:r>
    </w:p>
    <w:p w14:paraId="16D44CBD" w14:textId="77777777" w:rsidR="00475BD1" w:rsidRDefault="00475BD1" w:rsidP="00475BD1">
      <w:pPr>
        <w:pStyle w:val="ListParagraph"/>
        <w:numPr>
          <w:ilvl w:val="0"/>
          <w:numId w:val="5"/>
        </w:numPr>
        <w:autoSpaceDE w:val="0"/>
        <w:autoSpaceDN w:val="0"/>
      </w:pPr>
      <w:r>
        <w:t>Cefoxitin: 2 hours</w:t>
      </w:r>
    </w:p>
    <w:p w14:paraId="6990A222" w14:textId="77777777" w:rsidR="00475BD1" w:rsidRDefault="00475BD1" w:rsidP="00475BD1">
      <w:pPr>
        <w:pStyle w:val="ListParagraph"/>
        <w:numPr>
          <w:ilvl w:val="0"/>
          <w:numId w:val="5"/>
        </w:numPr>
        <w:autoSpaceDE w:val="0"/>
        <w:autoSpaceDN w:val="0"/>
      </w:pPr>
      <w:r>
        <w:t>Cefotetan: 6 hours</w:t>
      </w:r>
    </w:p>
    <w:p w14:paraId="6CA8EA62" w14:textId="77777777" w:rsidR="00475BD1" w:rsidRDefault="00475BD1" w:rsidP="00475BD1">
      <w:pPr>
        <w:pStyle w:val="ListParagraph"/>
        <w:numPr>
          <w:ilvl w:val="0"/>
          <w:numId w:val="5"/>
        </w:numPr>
        <w:autoSpaceDE w:val="0"/>
        <w:autoSpaceDN w:val="0"/>
      </w:pPr>
      <w:r>
        <w:t>Clindamycin: 6 hours</w:t>
      </w:r>
    </w:p>
    <w:p w14:paraId="2734B15B" w14:textId="6EC1BEAE" w:rsidR="00475BD1" w:rsidRDefault="00475BD1" w:rsidP="00475BD1">
      <w:pPr>
        <w:pStyle w:val="ListParagraph"/>
        <w:numPr>
          <w:ilvl w:val="0"/>
          <w:numId w:val="5"/>
        </w:numPr>
        <w:autoSpaceDE w:val="0"/>
        <w:autoSpaceDN w:val="0"/>
      </w:pPr>
      <w:r>
        <w:t>Piperacillin-tazobactam</w:t>
      </w:r>
      <w:r w:rsidR="00E93902">
        <w:t xml:space="preserve"> (Zosyn)</w:t>
      </w:r>
      <w:r>
        <w:t>: 2 hours</w:t>
      </w:r>
    </w:p>
    <w:p w14:paraId="2B84BE5C" w14:textId="77777777" w:rsidR="00BB7E79" w:rsidRDefault="00BB7E79" w:rsidP="00BB7E79">
      <w:pPr>
        <w:autoSpaceDE w:val="0"/>
        <w:autoSpaceDN w:val="0"/>
      </w:pPr>
    </w:p>
    <w:p w14:paraId="1E87A225" w14:textId="77777777" w:rsidR="00FB524E" w:rsidRDefault="00FB524E" w:rsidP="00840612">
      <w:pPr>
        <w:pStyle w:val="NoSpacing"/>
      </w:pPr>
      <w:r w:rsidRPr="00537511">
        <w:rPr>
          <w:b/>
        </w:rPr>
        <w:t>Exclusions</w:t>
      </w:r>
      <w:r>
        <w:t>:</w:t>
      </w:r>
    </w:p>
    <w:p w14:paraId="54642D4C" w14:textId="3859040C" w:rsidR="001F4278" w:rsidRPr="00945B36" w:rsidRDefault="00945B36" w:rsidP="001F4278">
      <w:pPr>
        <w:pStyle w:val="ListParagraph"/>
        <w:numPr>
          <w:ilvl w:val="0"/>
          <w:numId w:val="3"/>
        </w:numPr>
        <w:rPr>
          <w:rFonts w:eastAsia="Times New Roman"/>
        </w:rPr>
      </w:pPr>
      <w:r>
        <w:rPr>
          <w:rFonts w:eastAsia="Times New Roman"/>
          <w:sz w:val="23"/>
          <w:szCs w:val="23"/>
        </w:rPr>
        <w:t>Renal failure</w:t>
      </w:r>
      <w:r w:rsidR="004E3EF3">
        <w:rPr>
          <w:rFonts w:eastAsia="Times New Roman"/>
          <w:sz w:val="23"/>
          <w:szCs w:val="23"/>
        </w:rPr>
        <w:t xml:space="preserve"> (GFR &lt; 15 mL/min/1.73m</w:t>
      </w:r>
      <w:r w:rsidR="004E3EF3">
        <w:rPr>
          <w:rFonts w:eastAsia="Times New Roman"/>
          <w:sz w:val="23"/>
          <w:szCs w:val="23"/>
          <w:vertAlign w:val="superscript"/>
        </w:rPr>
        <w:t>2</w:t>
      </w:r>
      <w:r w:rsidR="004E3EF3">
        <w:rPr>
          <w:rFonts w:eastAsia="Times New Roman"/>
          <w:sz w:val="23"/>
          <w:szCs w:val="23"/>
        </w:rPr>
        <w:t>)</w:t>
      </w:r>
    </w:p>
    <w:p w14:paraId="222A9DDE" w14:textId="77777777" w:rsidR="00945B36" w:rsidRDefault="00945B36" w:rsidP="001F4278">
      <w:pPr>
        <w:pStyle w:val="ListParagraph"/>
        <w:numPr>
          <w:ilvl w:val="0"/>
          <w:numId w:val="3"/>
        </w:numPr>
        <w:rPr>
          <w:rFonts w:eastAsia="Times New Roman"/>
        </w:rPr>
      </w:pPr>
      <w:r>
        <w:rPr>
          <w:rFonts w:eastAsia="Times New Roman"/>
          <w:sz w:val="23"/>
          <w:szCs w:val="23"/>
        </w:rPr>
        <w:t>Procedure duration (surgical incision to closure time) &lt; 2 half-lives of selected prophylactic antibiotic</w:t>
      </w:r>
    </w:p>
    <w:p w14:paraId="57F71EA5" w14:textId="77777777" w:rsidR="00475BD1" w:rsidRDefault="00475BD1" w:rsidP="00840612">
      <w:pPr>
        <w:pStyle w:val="NoSpacing"/>
        <w:rPr>
          <w:b/>
        </w:rPr>
      </w:pPr>
    </w:p>
    <w:p w14:paraId="3E5F8758" w14:textId="5ED4CE3C" w:rsidR="0092443B" w:rsidRDefault="0092443B" w:rsidP="00840612">
      <w:pPr>
        <w:pStyle w:val="NoSpacing"/>
      </w:pPr>
      <w:r>
        <w:rPr>
          <w:b/>
        </w:rPr>
        <w:t xml:space="preserve">Baseline: </w:t>
      </w:r>
      <w:r w:rsidR="00520F70">
        <w:t>49.3</w:t>
      </w:r>
      <w:r w:rsidR="002F0ACB" w:rsidRPr="002F0ACB">
        <w:t>% (07</w:t>
      </w:r>
      <w:r w:rsidR="00E93902">
        <w:t>/01/2019 – 02/28</w:t>
      </w:r>
      <w:r w:rsidR="002F0ACB">
        <w:t>/2020</w:t>
      </w:r>
      <w:r w:rsidR="00520F70">
        <w:t>: COVID-excluded</w:t>
      </w:r>
      <w:r w:rsidR="002F0ACB">
        <w:t>)</w:t>
      </w:r>
    </w:p>
    <w:p w14:paraId="24F8B08F" w14:textId="739A32D7" w:rsidR="00520F70" w:rsidRDefault="00520F70" w:rsidP="00840612">
      <w:pPr>
        <w:pStyle w:val="NoSpacing"/>
      </w:pPr>
    </w:p>
    <w:p w14:paraId="6371743D" w14:textId="2610D6E3" w:rsidR="00520F70" w:rsidRDefault="00520F70" w:rsidP="00840612">
      <w:pPr>
        <w:pStyle w:val="NoSpacing"/>
      </w:pPr>
      <w:r>
        <w:rPr>
          <w:b/>
        </w:rPr>
        <w:t xml:space="preserve">Performance Table: </w:t>
      </w:r>
      <w:r>
        <w:t>Approved 8/18/20 and to be averaged over 10 months: 9/1/20 - 6/30/21</w:t>
      </w:r>
    </w:p>
    <w:tbl>
      <w:tblPr>
        <w:tblStyle w:val="TableGrid"/>
        <w:tblW w:w="4495" w:type="dxa"/>
        <w:tblLook w:val="04A0" w:firstRow="1" w:lastRow="0" w:firstColumn="1" w:lastColumn="0" w:noHBand="0" w:noVBand="1"/>
      </w:tblPr>
      <w:tblGrid>
        <w:gridCol w:w="2245"/>
        <w:gridCol w:w="2250"/>
      </w:tblGrid>
      <w:tr w:rsidR="00F75DD0" w14:paraId="0BDD0913" w14:textId="52960FA6" w:rsidTr="00F75DD0">
        <w:tc>
          <w:tcPr>
            <w:tcW w:w="2245" w:type="dxa"/>
          </w:tcPr>
          <w:p w14:paraId="23CE4200" w14:textId="60E9C2F0" w:rsidR="00F75DD0" w:rsidRDefault="00F75DD0" w:rsidP="0097535C">
            <w:pPr>
              <w:pStyle w:val="NoSpacing"/>
            </w:pPr>
            <w:r w:rsidRPr="003F098A">
              <w:rPr>
                <w:b/>
              </w:rPr>
              <w:t>Tier</w:t>
            </w:r>
          </w:p>
        </w:tc>
        <w:tc>
          <w:tcPr>
            <w:tcW w:w="2250" w:type="dxa"/>
          </w:tcPr>
          <w:p w14:paraId="3AC6BF62" w14:textId="02E86315" w:rsidR="00F75DD0" w:rsidRDefault="00F75DD0" w:rsidP="0097535C">
            <w:pPr>
              <w:pStyle w:val="NoSpacing"/>
            </w:pPr>
            <w:r w:rsidRPr="003F098A">
              <w:rPr>
                <w:b/>
              </w:rPr>
              <w:t>Goal</w:t>
            </w:r>
            <w:r>
              <w:rPr>
                <w:b/>
              </w:rPr>
              <w:t xml:space="preserve"> (%)</w:t>
            </w:r>
          </w:p>
        </w:tc>
      </w:tr>
      <w:tr w:rsidR="00F75DD0" w14:paraId="393E6E18" w14:textId="667251A4" w:rsidTr="00F75DD0">
        <w:tc>
          <w:tcPr>
            <w:tcW w:w="2245" w:type="dxa"/>
          </w:tcPr>
          <w:p w14:paraId="6DA8AF87" w14:textId="282DD3B4" w:rsidR="00F75DD0" w:rsidRDefault="00F75DD0" w:rsidP="0097535C">
            <w:pPr>
              <w:pStyle w:val="NoSpacing"/>
            </w:pPr>
            <w:r>
              <w:t>Below Threshold</w:t>
            </w:r>
          </w:p>
        </w:tc>
        <w:tc>
          <w:tcPr>
            <w:tcW w:w="2250" w:type="dxa"/>
          </w:tcPr>
          <w:p w14:paraId="7B62CF71" w14:textId="3237AC1F" w:rsidR="00F75DD0" w:rsidRDefault="00F75DD0" w:rsidP="0097535C">
            <w:pPr>
              <w:pStyle w:val="NoSpacing"/>
            </w:pPr>
            <w:r>
              <w:rPr>
                <w:u w:val="single"/>
              </w:rPr>
              <w:t>&lt;</w:t>
            </w:r>
            <w:r>
              <w:t>46.9</w:t>
            </w:r>
          </w:p>
        </w:tc>
      </w:tr>
      <w:tr w:rsidR="00F75DD0" w14:paraId="37EF73CB" w14:textId="4E715E81" w:rsidTr="00F75DD0">
        <w:tc>
          <w:tcPr>
            <w:tcW w:w="2245" w:type="dxa"/>
          </w:tcPr>
          <w:p w14:paraId="29177D89" w14:textId="27D06C3C" w:rsidR="00F75DD0" w:rsidRDefault="00F75DD0" w:rsidP="0097535C">
            <w:pPr>
              <w:pStyle w:val="NoSpacing"/>
            </w:pPr>
            <w:r>
              <w:t>Threshold</w:t>
            </w:r>
          </w:p>
        </w:tc>
        <w:tc>
          <w:tcPr>
            <w:tcW w:w="2250" w:type="dxa"/>
          </w:tcPr>
          <w:p w14:paraId="0537C7D7" w14:textId="22B58FCA" w:rsidR="00F75DD0" w:rsidRDefault="00F75DD0" w:rsidP="0097535C">
            <w:pPr>
              <w:pStyle w:val="NoSpacing"/>
            </w:pPr>
            <w:r>
              <w:t>47.0 - 49.9</w:t>
            </w:r>
          </w:p>
        </w:tc>
      </w:tr>
      <w:tr w:rsidR="00F75DD0" w14:paraId="02878B3C" w14:textId="269F9FE0" w:rsidTr="00F75DD0">
        <w:tc>
          <w:tcPr>
            <w:tcW w:w="2245" w:type="dxa"/>
          </w:tcPr>
          <w:p w14:paraId="656E7F67" w14:textId="0084FB50" w:rsidR="00F75DD0" w:rsidRDefault="00F75DD0" w:rsidP="0097535C">
            <w:pPr>
              <w:pStyle w:val="NoSpacing"/>
            </w:pPr>
            <w:r>
              <w:t>Performing</w:t>
            </w:r>
          </w:p>
        </w:tc>
        <w:tc>
          <w:tcPr>
            <w:tcW w:w="2250" w:type="dxa"/>
          </w:tcPr>
          <w:p w14:paraId="5B1A7925" w14:textId="4F32FD48" w:rsidR="00F75DD0" w:rsidRDefault="00F75DD0" w:rsidP="0097535C">
            <w:pPr>
              <w:pStyle w:val="NoSpacing"/>
            </w:pPr>
            <w:r>
              <w:t>50.0 – 52.9</w:t>
            </w:r>
          </w:p>
        </w:tc>
      </w:tr>
      <w:tr w:rsidR="00F75DD0" w14:paraId="3A59DDF3" w14:textId="2B45C8C2" w:rsidTr="00F75DD0">
        <w:tc>
          <w:tcPr>
            <w:tcW w:w="2245" w:type="dxa"/>
          </w:tcPr>
          <w:p w14:paraId="060D6BE4" w14:textId="76CC4FFE" w:rsidR="00F75DD0" w:rsidRDefault="00F75DD0" w:rsidP="0097535C">
            <w:pPr>
              <w:pStyle w:val="NoSpacing"/>
            </w:pPr>
            <w:r>
              <w:t>High Performing</w:t>
            </w:r>
          </w:p>
        </w:tc>
        <w:tc>
          <w:tcPr>
            <w:tcW w:w="2250" w:type="dxa"/>
          </w:tcPr>
          <w:p w14:paraId="4BF0CBC4" w14:textId="02130A9D" w:rsidR="00F75DD0" w:rsidRDefault="00F75DD0" w:rsidP="0097535C">
            <w:pPr>
              <w:pStyle w:val="NoSpacing"/>
            </w:pPr>
            <w:r>
              <w:rPr>
                <w:u w:val="single"/>
              </w:rPr>
              <w:t xml:space="preserve">&gt; </w:t>
            </w:r>
            <w:r>
              <w:t>53.0</w:t>
            </w:r>
          </w:p>
        </w:tc>
      </w:tr>
    </w:tbl>
    <w:p w14:paraId="68349E5E" w14:textId="14BB7B94" w:rsidR="001C2651" w:rsidRDefault="001C2651" w:rsidP="00C22728">
      <w:pPr>
        <w:pStyle w:val="NoSpacing"/>
      </w:pPr>
    </w:p>
    <w:p w14:paraId="45AC59A9" w14:textId="77777777" w:rsidR="00636740" w:rsidRDefault="00636740" w:rsidP="00636740">
      <w:pPr>
        <w:pStyle w:val="NoSpacing"/>
      </w:pPr>
      <w:r w:rsidRPr="00537511">
        <w:rPr>
          <w:b/>
        </w:rPr>
        <w:t>References</w:t>
      </w:r>
      <w:r>
        <w:t>:</w:t>
      </w:r>
    </w:p>
    <w:p w14:paraId="7FF8763E" w14:textId="7D240DBF" w:rsidR="0049503A" w:rsidRDefault="00803AFE" w:rsidP="00803AFE">
      <w:pPr>
        <w:pStyle w:val="NoSpacing"/>
      </w:pPr>
      <w:r>
        <w:t xml:space="preserve">Bratzler DW, Dellinger EP, Olsen KM, Perl TM, Auwaeter PG, Bolon MK, Fish DN, Napolitano LM, Sawyer RG, Slain D, Steinberg JP, Weinstein RA.  Clinical Practice Guidelines for Antimicrobial Prophylaxis in Surgery.  Surgical Infections 14(1): 73-156.  </w:t>
      </w:r>
    </w:p>
    <w:p w14:paraId="6B30548A" w14:textId="38283196" w:rsidR="0097535C" w:rsidRDefault="0097535C" w:rsidP="00803AFE">
      <w:pPr>
        <w:pStyle w:val="NoSpacing"/>
      </w:pPr>
    </w:p>
    <w:p w14:paraId="79032047" w14:textId="40A81535" w:rsidR="0097535C" w:rsidRDefault="0097535C" w:rsidP="00803AFE">
      <w:pPr>
        <w:pStyle w:val="NoSpacing"/>
        <w:rPr>
          <w:b/>
        </w:rPr>
      </w:pPr>
      <w:r>
        <w:rPr>
          <w:b/>
        </w:rPr>
        <w:t>FAQs:</w:t>
      </w:r>
    </w:p>
    <w:p w14:paraId="59661958" w14:textId="26F69C5D" w:rsidR="0097535C" w:rsidRDefault="004168F7" w:rsidP="0097535C">
      <w:pPr>
        <w:pStyle w:val="NoSpacing"/>
        <w:numPr>
          <w:ilvl w:val="0"/>
          <w:numId w:val="7"/>
        </w:numPr>
      </w:pPr>
      <w:r>
        <w:t>What are</w:t>
      </w:r>
      <w:r w:rsidR="00923F47">
        <w:t xml:space="preserve"> the redosing interval</w:t>
      </w:r>
      <w:r>
        <w:t>s</w:t>
      </w:r>
      <w:r w:rsidR="00923F47">
        <w:t xml:space="preserve"> for vancomycin</w:t>
      </w:r>
      <w:r>
        <w:t xml:space="preserve"> and ceftriaxone</w:t>
      </w:r>
      <w:r w:rsidR="00923F47">
        <w:t>?</w:t>
      </w:r>
    </w:p>
    <w:p w14:paraId="5AC366A0" w14:textId="6D851EEB" w:rsidR="006D5478" w:rsidRDefault="00923F47" w:rsidP="006D5478">
      <w:pPr>
        <w:pStyle w:val="NoSpacing"/>
        <w:ind w:left="720"/>
        <w:rPr>
          <w:i/>
        </w:rPr>
      </w:pPr>
      <w:r>
        <w:rPr>
          <w:i/>
        </w:rPr>
        <w:t xml:space="preserve">Due to </w:t>
      </w:r>
      <w:r w:rsidR="006D5478">
        <w:rPr>
          <w:i/>
        </w:rPr>
        <w:t>it long half-life (4-8 hrs in adults with normal renal functio</w:t>
      </w:r>
      <w:r w:rsidR="00612180">
        <w:rPr>
          <w:i/>
        </w:rPr>
        <w:t>n), vancomycin can most often</w:t>
      </w:r>
      <w:r w:rsidR="006D5478">
        <w:rPr>
          <w:i/>
        </w:rPr>
        <w:t xml:space="preserve"> be used as a single dose and is not included in this measure.</w:t>
      </w:r>
      <w:r w:rsidR="004168F7">
        <w:rPr>
          <w:i/>
        </w:rPr>
        <w:t xml:space="preserve">  Ceftriaxone is also not included.</w:t>
      </w:r>
      <w:bookmarkStart w:id="0" w:name="_GoBack"/>
      <w:bookmarkEnd w:id="0"/>
    </w:p>
    <w:p w14:paraId="2955EEED" w14:textId="60BBB54A" w:rsidR="006D5478" w:rsidRDefault="006D5478" w:rsidP="006D5478">
      <w:pPr>
        <w:pStyle w:val="NoSpacing"/>
        <w:ind w:left="720"/>
        <w:rPr>
          <w:i/>
        </w:rPr>
      </w:pPr>
    </w:p>
    <w:p w14:paraId="1C26C4C2" w14:textId="3BFC5739" w:rsidR="006D5478" w:rsidRPr="006D5478" w:rsidRDefault="006D5478" w:rsidP="006D5478">
      <w:pPr>
        <w:pStyle w:val="NoSpacing"/>
        <w:numPr>
          <w:ilvl w:val="0"/>
          <w:numId w:val="7"/>
        </w:numPr>
      </w:pPr>
      <w:r>
        <w:t>Are cardiac cases excluded?</w:t>
      </w:r>
    </w:p>
    <w:p w14:paraId="5E7E5F73" w14:textId="12C93FDA" w:rsidR="006D5478" w:rsidRDefault="006D5478" w:rsidP="006D5478">
      <w:pPr>
        <w:pStyle w:val="NoSpacing"/>
        <w:ind w:left="720"/>
      </w:pPr>
      <w:r>
        <w:rPr>
          <w:i/>
        </w:rPr>
        <w:t>No.  Cefazolin or its alternative should be redosed intraoperatively within two half-lives.</w:t>
      </w:r>
    </w:p>
    <w:p w14:paraId="4DA34198" w14:textId="0B18554A" w:rsidR="006D5478" w:rsidRDefault="006D5478" w:rsidP="006D5478">
      <w:pPr>
        <w:pStyle w:val="NoSpacing"/>
        <w:ind w:left="720"/>
      </w:pPr>
    </w:p>
    <w:p w14:paraId="3F8CAF08" w14:textId="63A02ABB" w:rsidR="006D5478" w:rsidRPr="00E33563" w:rsidRDefault="006D5478" w:rsidP="006D5478">
      <w:pPr>
        <w:pStyle w:val="NoSpacing"/>
        <w:numPr>
          <w:ilvl w:val="0"/>
          <w:numId w:val="7"/>
        </w:numPr>
      </w:pPr>
      <w:r>
        <w:t>Are inpatient/ED add-on cases excluded from this measure?</w:t>
      </w:r>
    </w:p>
    <w:p w14:paraId="12942F30" w14:textId="063764AD" w:rsidR="00E33563" w:rsidRDefault="00E33563" w:rsidP="00E33563">
      <w:pPr>
        <w:pStyle w:val="NoSpacing"/>
        <w:ind w:left="720"/>
        <w:rPr>
          <w:i/>
        </w:rPr>
      </w:pPr>
      <w:r>
        <w:rPr>
          <w:i/>
        </w:rPr>
        <w:t>If preop antibiotic prophylaxis is given, then the case should be included.</w:t>
      </w:r>
    </w:p>
    <w:p w14:paraId="134B4C41" w14:textId="0B9CDC40" w:rsidR="00E33563" w:rsidRDefault="00E33563" w:rsidP="00B530E5">
      <w:pPr>
        <w:pStyle w:val="NoSpacing"/>
        <w:ind w:left="720"/>
        <w:rPr>
          <w:i/>
        </w:rPr>
      </w:pPr>
      <w:r>
        <w:rPr>
          <w:i/>
        </w:rPr>
        <w:t>Patients receiving therapeutic antibiotics due to ongoing infection should be excluded from this measure.</w:t>
      </w:r>
      <w:r w:rsidR="00B530E5">
        <w:rPr>
          <w:i/>
        </w:rPr>
        <w:t xml:space="preserve">  </w:t>
      </w:r>
      <w:r>
        <w:rPr>
          <w:i/>
        </w:rPr>
        <w:t>For cases that do not receive prophylactic antibiotics for any reason, consider inputting a SCIP note to standardize documentation.</w:t>
      </w:r>
    </w:p>
    <w:p w14:paraId="6B2F7E32" w14:textId="180924F9" w:rsidR="00E33563" w:rsidRDefault="00E33563" w:rsidP="00E33563">
      <w:pPr>
        <w:pStyle w:val="NoSpacing"/>
        <w:ind w:left="720"/>
      </w:pPr>
    </w:p>
    <w:p w14:paraId="31DC3202" w14:textId="39B5A93A" w:rsidR="00E33563" w:rsidRDefault="00E33563" w:rsidP="00E33563">
      <w:pPr>
        <w:pStyle w:val="NoSpacing"/>
        <w:numPr>
          <w:ilvl w:val="0"/>
          <w:numId w:val="7"/>
        </w:numPr>
      </w:pPr>
      <w:r>
        <w:t>Should Ampicillin/Sulbactam</w:t>
      </w:r>
      <w:r w:rsidR="00F75DD0">
        <w:t xml:space="preserve"> (Unasyn)</w:t>
      </w:r>
      <w:r>
        <w:t xml:space="preserve"> and Piperacillin/Tazobactam</w:t>
      </w:r>
      <w:r w:rsidR="00F75DD0">
        <w:t xml:space="preserve"> (Zosyn)</w:t>
      </w:r>
      <w:r>
        <w:t xml:space="preserve"> really be redosed every 2 hours?</w:t>
      </w:r>
    </w:p>
    <w:p w14:paraId="55887AE2" w14:textId="22089ACF" w:rsidR="00E33563" w:rsidRDefault="00E33563" w:rsidP="00E33563">
      <w:pPr>
        <w:pStyle w:val="NoSpacing"/>
        <w:ind w:left="720"/>
      </w:pPr>
      <w:r>
        <w:rPr>
          <w:i/>
        </w:rPr>
        <w:t>Yes, based on current evidence with a half-life close to 1 hr, these antibiotics</w:t>
      </w:r>
      <w:r w:rsidR="00EE284E">
        <w:rPr>
          <w:i/>
        </w:rPr>
        <w:t xml:space="preserve"> when used for prophylaxis</w:t>
      </w:r>
      <w:r>
        <w:rPr>
          <w:i/>
        </w:rPr>
        <w:t xml:space="preserve"> should be </w:t>
      </w:r>
      <w:r w:rsidR="00EE284E">
        <w:rPr>
          <w:i/>
        </w:rPr>
        <w:t xml:space="preserve">dosed </w:t>
      </w:r>
      <w:r w:rsidR="00F75DD0">
        <w:rPr>
          <w:i/>
        </w:rPr>
        <w:t xml:space="preserve">as a bolus </w:t>
      </w:r>
      <w:r w:rsidR="00EE284E">
        <w:rPr>
          <w:i/>
        </w:rPr>
        <w:t>within 60 minutes prior to incisi</w:t>
      </w:r>
      <w:r w:rsidR="00F75DD0">
        <w:rPr>
          <w:i/>
        </w:rPr>
        <w:t>on</w:t>
      </w:r>
      <w:r w:rsidR="00EE284E">
        <w:rPr>
          <w:i/>
        </w:rPr>
        <w:t xml:space="preserve"> and </w:t>
      </w:r>
      <w:r>
        <w:rPr>
          <w:i/>
        </w:rPr>
        <w:t xml:space="preserve">redosed </w:t>
      </w:r>
      <w:r w:rsidR="00F75DD0">
        <w:rPr>
          <w:i/>
        </w:rPr>
        <w:t xml:space="preserve">as a bolus </w:t>
      </w:r>
      <w:r>
        <w:rPr>
          <w:i/>
        </w:rPr>
        <w:t>intraoperatively within 2 hours.</w:t>
      </w:r>
      <w:r w:rsidR="00F75DD0">
        <w:rPr>
          <w:i/>
        </w:rPr>
        <w:t xml:space="preserve">  </w:t>
      </w:r>
      <w:r w:rsidR="00570100">
        <w:rPr>
          <w:i/>
        </w:rPr>
        <w:t>Note</w:t>
      </w:r>
      <w:r w:rsidR="002C15AE">
        <w:rPr>
          <w:i/>
        </w:rPr>
        <w:t>s</w:t>
      </w:r>
      <w:r w:rsidR="00570100">
        <w:rPr>
          <w:i/>
        </w:rPr>
        <w:t xml:space="preserve"> per pharmacy:</w:t>
      </w:r>
      <w:r w:rsidR="00500516">
        <w:rPr>
          <w:i/>
        </w:rPr>
        <w:t xml:space="preserve">  </w:t>
      </w:r>
      <w:r w:rsidR="00570100">
        <w:rPr>
          <w:i/>
        </w:rPr>
        <w:t>The 1</w:t>
      </w:r>
      <w:r w:rsidR="00570100" w:rsidRPr="00570100">
        <w:rPr>
          <w:i/>
          <w:vertAlign w:val="superscript"/>
        </w:rPr>
        <w:t>st</w:t>
      </w:r>
      <w:r w:rsidR="00570100">
        <w:rPr>
          <w:i/>
        </w:rPr>
        <w:t xml:space="preserve"> 3 doses of </w:t>
      </w:r>
      <w:r w:rsidR="00F75DD0">
        <w:rPr>
          <w:i/>
        </w:rPr>
        <w:t>Ampicillin/Sulbactam (Unasyn)</w:t>
      </w:r>
      <w:r w:rsidR="00570100">
        <w:rPr>
          <w:i/>
        </w:rPr>
        <w:t xml:space="preserve"> are</w:t>
      </w:r>
      <w:r w:rsidR="00F75DD0">
        <w:rPr>
          <w:i/>
        </w:rPr>
        <w:t xml:space="preserve"> q2hr</w:t>
      </w:r>
      <w:r w:rsidR="00570100">
        <w:rPr>
          <w:i/>
        </w:rPr>
        <w:t>, but the 4</w:t>
      </w:r>
      <w:r w:rsidR="00570100" w:rsidRPr="00570100">
        <w:rPr>
          <w:i/>
          <w:vertAlign w:val="superscript"/>
        </w:rPr>
        <w:t>th</w:t>
      </w:r>
      <w:r w:rsidR="00570100">
        <w:rPr>
          <w:i/>
        </w:rPr>
        <w:t xml:space="preserve"> dose is q6hr due to max </w:t>
      </w:r>
      <w:r w:rsidR="00500516">
        <w:rPr>
          <w:i/>
        </w:rPr>
        <w:t xml:space="preserve">Sulbactam </w:t>
      </w:r>
      <w:r w:rsidR="00570100">
        <w:rPr>
          <w:i/>
        </w:rPr>
        <w:t>dose of 4g/24hrs.</w:t>
      </w:r>
      <w:r w:rsidR="00500516">
        <w:rPr>
          <w:i/>
        </w:rPr>
        <w:t xml:space="preserve">  For longer cases, it is recommended to choose another antibiotic than Piperacillin/Tazobactam (Zosyn).</w:t>
      </w:r>
      <w:r w:rsidR="00F75DD0">
        <w:rPr>
          <w:i/>
        </w:rPr>
        <w:t xml:space="preserve"> </w:t>
      </w:r>
    </w:p>
    <w:p w14:paraId="3D83F19D" w14:textId="09D8E736" w:rsidR="00EE284E" w:rsidRDefault="00EE284E" w:rsidP="00E33563">
      <w:pPr>
        <w:pStyle w:val="NoSpacing"/>
        <w:ind w:left="720"/>
      </w:pPr>
    </w:p>
    <w:p w14:paraId="612AA78E" w14:textId="5A972E47" w:rsidR="00EE284E" w:rsidRDefault="00F75DD0" w:rsidP="00EE284E">
      <w:pPr>
        <w:pStyle w:val="NoSpacing"/>
        <w:numPr>
          <w:ilvl w:val="0"/>
          <w:numId w:val="7"/>
        </w:numPr>
      </w:pPr>
      <w:r>
        <w:lastRenderedPageBreak/>
        <w:t xml:space="preserve">If an inpatient is on </w:t>
      </w:r>
      <w:r w:rsidR="00500516">
        <w:t>Ampicillin/S</w:t>
      </w:r>
      <w:r>
        <w:t>ulbactam (Unasyn)</w:t>
      </w:r>
      <w:r w:rsidR="00500516">
        <w:t xml:space="preserve"> </w:t>
      </w:r>
      <w:r w:rsidR="00EE284E">
        <w:t>continuous infusion</w:t>
      </w:r>
      <w:r>
        <w:t xml:space="preserve"> prior to OR</w:t>
      </w:r>
      <w:r w:rsidR="00EE284E">
        <w:t>, what should be done intraoperatively?</w:t>
      </w:r>
    </w:p>
    <w:p w14:paraId="186CD75A" w14:textId="177F9D89" w:rsidR="00EE284E" w:rsidRPr="00EE284E" w:rsidRDefault="00EE284E" w:rsidP="00EE284E">
      <w:pPr>
        <w:pStyle w:val="NoSpacing"/>
        <w:ind w:left="720"/>
        <w:rPr>
          <w:i/>
        </w:rPr>
      </w:pPr>
      <w:r>
        <w:rPr>
          <w:i/>
        </w:rPr>
        <w:t>If given to treat ongoing infection, infusions should be continued in the OR per current order.  However, as it is not for prophylaxis, the case should be excluded from the measure.</w:t>
      </w:r>
    </w:p>
    <w:p w14:paraId="79D696BC" w14:textId="7C3F9E72" w:rsidR="00655828" w:rsidRDefault="00655828" w:rsidP="00386CF9">
      <w:pPr>
        <w:pStyle w:val="NoSpacing"/>
      </w:pPr>
    </w:p>
    <w:p w14:paraId="6443D667" w14:textId="29E9650E" w:rsidR="00E33563" w:rsidRDefault="00E33563" w:rsidP="00E33563">
      <w:pPr>
        <w:pStyle w:val="NoSpacing"/>
        <w:numPr>
          <w:ilvl w:val="0"/>
          <w:numId w:val="7"/>
        </w:numPr>
      </w:pPr>
      <w:r>
        <w:t>Are the surgeons (and OR nursing staff) aware of new practice changes</w:t>
      </w:r>
      <w:r w:rsidR="009A441B">
        <w:t xml:space="preserve"> in question 4</w:t>
      </w:r>
      <w:r>
        <w:t>?</w:t>
      </w:r>
    </w:p>
    <w:p w14:paraId="49F0F536" w14:textId="3C5AC082" w:rsidR="009A441B" w:rsidRDefault="009A441B" w:rsidP="00B530E5">
      <w:pPr>
        <w:pStyle w:val="NoSpacing"/>
        <w:ind w:left="720"/>
        <w:rPr>
          <w:i/>
        </w:rPr>
      </w:pPr>
      <w:r>
        <w:rPr>
          <w:i/>
        </w:rPr>
        <w:t>Surgeons and other perioperative staff may not be aware of current, evidence-based intraoperative antibiotic redosing guidelines.</w:t>
      </w:r>
      <w:r w:rsidR="00B530E5">
        <w:rPr>
          <w:i/>
        </w:rPr>
        <w:t xml:space="preserve">  </w:t>
      </w:r>
      <w:r>
        <w:rPr>
          <w:i/>
        </w:rPr>
        <w:t>It is highly recommended that t</w:t>
      </w:r>
      <w:r w:rsidR="00E33563">
        <w:rPr>
          <w:i/>
        </w:rPr>
        <w:t xml:space="preserve">he </w:t>
      </w:r>
      <w:r>
        <w:rPr>
          <w:i/>
        </w:rPr>
        <w:t>anesthesia care team members pass along this knowledge.</w:t>
      </w:r>
      <w:r w:rsidR="00B530E5">
        <w:rPr>
          <w:i/>
        </w:rPr>
        <w:t xml:space="preserve">  </w:t>
      </w:r>
      <w:r>
        <w:rPr>
          <w:i/>
        </w:rPr>
        <w:t xml:space="preserve">Consider inputting a SCIP note to standardize documentation </w:t>
      </w:r>
      <w:r w:rsidR="00B530E5">
        <w:rPr>
          <w:i/>
        </w:rPr>
        <w:t xml:space="preserve">of an exception </w:t>
      </w:r>
      <w:r>
        <w:rPr>
          <w:i/>
        </w:rPr>
        <w:t>if an indicated redose is not given.</w:t>
      </w:r>
    </w:p>
    <w:p w14:paraId="3B1E813A" w14:textId="1C507373" w:rsidR="009A441B" w:rsidRDefault="009A441B" w:rsidP="00E33563">
      <w:pPr>
        <w:pStyle w:val="NoSpacing"/>
        <w:ind w:left="720"/>
        <w:rPr>
          <w:i/>
        </w:rPr>
      </w:pPr>
    </w:p>
    <w:p w14:paraId="5569D366" w14:textId="4D9E6C9C" w:rsidR="009A441B" w:rsidRDefault="009A441B" w:rsidP="009A441B">
      <w:pPr>
        <w:pStyle w:val="NoSpacing"/>
        <w:numPr>
          <w:ilvl w:val="0"/>
          <w:numId w:val="7"/>
        </w:numPr>
      </w:pPr>
      <w:r>
        <w:t>Does a redose need to be the same amount as the prophylactic dose?</w:t>
      </w:r>
    </w:p>
    <w:p w14:paraId="51B98E56" w14:textId="7AC164A6" w:rsidR="009A441B" w:rsidRDefault="009A441B" w:rsidP="009A441B">
      <w:pPr>
        <w:pStyle w:val="NoSpacing"/>
        <w:ind w:left="720"/>
        <w:rPr>
          <w:i/>
        </w:rPr>
      </w:pPr>
      <w:r>
        <w:rPr>
          <w:i/>
        </w:rPr>
        <w:t>No.  Any redose of the indicated prophylactic antibiotic may pass the measure.</w:t>
      </w:r>
    </w:p>
    <w:p w14:paraId="40211CD1" w14:textId="31B101A8" w:rsidR="009A441B" w:rsidRDefault="009A441B" w:rsidP="00DE1708">
      <w:pPr>
        <w:pStyle w:val="NoSpacing"/>
        <w:ind w:left="720"/>
        <w:rPr>
          <w:i/>
        </w:rPr>
      </w:pPr>
      <w:r>
        <w:rPr>
          <w:i/>
        </w:rPr>
        <w:t>However, discussion of the amount of redose with t</w:t>
      </w:r>
      <w:r w:rsidR="00DE1708">
        <w:rPr>
          <w:i/>
        </w:rPr>
        <w:t>he surgical team is encouraged.</w:t>
      </w:r>
    </w:p>
    <w:p w14:paraId="67166BB5" w14:textId="1497FF57" w:rsidR="00B530E5" w:rsidRDefault="00B530E5" w:rsidP="00655828">
      <w:pPr>
        <w:pStyle w:val="NoSpacing"/>
        <w:rPr>
          <w:i/>
        </w:rPr>
      </w:pPr>
    </w:p>
    <w:p w14:paraId="7F61E92A" w14:textId="27D6A309" w:rsidR="00B530E5" w:rsidRDefault="00655828" w:rsidP="00655828">
      <w:pPr>
        <w:pStyle w:val="NoSpacing"/>
        <w:numPr>
          <w:ilvl w:val="0"/>
          <w:numId w:val="7"/>
        </w:numPr>
      </w:pPr>
      <w:r>
        <w:t>Do these guidelines apply to both acute and chronic renal failure?</w:t>
      </w:r>
    </w:p>
    <w:p w14:paraId="703951C1" w14:textId="420ABD42" w:rsidR="00655828" w:rsidRDefault="00655828" w:rsidP="00655828">
      <w:pPr>
        <w:pStyle w:val="NoSpacing"/>
        <w:ind w:left="720"/>
        <w:rPr>
          <w:i/>
        </w:rPr>
      </w:pPr>
      <w:r>
        <w:rPr>
          <w:i/>
        </w:rPr>
        <w:t>Yes, patients with GFR &lt; 15 mL/min/1.73m</w:t>
      </w:r>
      <w:r>
        <w:rPr>
          <w:i/>
          <w:vertAlign w:val="superscript"/>
        </w:rPr>
        <w:t>2</w:t>
      </w:r>
      <w:r>
        <w:rPr>
          <w:i/>
        </w:rPr>
        <w:t xml:space="preserve"> +/- dialysis should be excluded from the measure.</w:t>
      </w:r>
    </w:p>
    <w:p w14:paraId="310B70C8" w14:textId="21D6B733" w:rsidR="00655828" w:rsidRDefault="00655828" w:rsidP="00655828">
      <w:pPr>
        <w:pStyle w:val="NoSpacing"/>
        <w:ind w:left="720"/>
        <w:rPr>
          <w:i/>
        </w:rPr>
      </w:pPr>
    </w:p>
    <w:p w14:paraId="453EF253" w14:textId="7963941F" w:rsidR="00655828" w:rsidRDefault="00655828" w:rsidP="00655828">
      <w:pPr>
        <w:pStyle w:val="NoSpacing"/>
        <w:numPr>
          <w:ilvl w:val="0"/>
          <w:numId w:val="7"/>
        </w:numPr>
      </w:pPr>
      <w:r>
        <w:t>How is closing time defined?</w:t>
      </w:r>
    </w:p>
    <w:p w14:paraId="7C366198" w14:textId="380A9657" w:rsidR="00655828" w:rsidRDefault="00655828" w:rsidP="00655828">
      <w:pPr>
        <w:pStyle w:val="NoSpacing"/>
        <w:ind w:left="720"/>
        <w:rPr>
          <w:i/>
        </w:rPr>
      </w:pPr>
      <w:r>
        <w:rPr>
          <w:i/>
        </w:rPr>
        <w:t>The incision closure time should be input in Epic by the circulating RN.</w:t>
      </w:r>
    </w:p>
    <w:p w14:paraId="09365203" w14:textId="2ED6A391" w:rsidR="00655828" w:rsidRDefault="00655828" w:rsidP="00655828">
      <w:pPr>
        <w:pStyle w:val="NoSpacing"/>
        <w:ind w:left="720"/>
        <w:rPr>
          <w:i/>
        </w:rPr>
      </w:pPr>
    </w:p>
    <w:p w14:paraId="13426D95" w14:textId="77777777" w:rsidR="00655828" w:rsidRPr="00055F8B" w:rsidRDefault="00655828" w:rsidP="00655828">
      <w:pPr>
        <w:pStyle w:val="NoSpacing"/>
        <w:numPr>
          <w:ilvl w:val="0"/>
          <w:numId w:val="7"/>
        </w:numPr>
      </w:pPr>
      <w:r>
        <w:t>Where will these guidelines be posted?</w:t>
      </w:r>
    </w:p>
    <w:p w14:paraId="7B4DABE4" w14:textId="31B59BBC" w:rsidR="00655828" w:rsidRPr="003157CA" w:rsidRDefault="00655828" w:rsidP="003157CA">
      <w:pPr>
        <w:pStyle w:val="NoSpacing"/>
        <w:ind w:left="720"/>
        <w:rPr>
          <w:i/>
        </w:rPr>
      </w:pPr>
      <w:r>
        <w:rPr>
          <w:i/>
        </w:rPr>
        <w:t xml:space="preserve">When finalized, it should be posted at </w:t>
      </w:r>
      <w:hyperlink r:id="rId8" w:history="1">
        <w:r w:rsidRPr="009F5750">
          <w:rPr>
            <w:rStyle w:val="Hyperlink"/>
            <w:i/>
          </w:rPr>
          <w:t>http://sw-anesthesia.com</w:t>
        </w:r>
      </w:hyperlink>
      <w:r>
        <w:rPr>
          <w:i/>
        </w:rPr>
        <w:t xml:space="preserve">.  When the new departmental SharePoint website goes live, it should be at </w:t>
      </w:r>
      <w:hyperlink r:id="rId9" w:history="1">
        <w:r w:rsidRPr="00AE7B9F">
          <w:rPr>
            <w:rStyle w:val="Hyperlink"/>
            <w:i/>
          </w:rPr>
          <w:t>https://bswhealth.sharepoint.com/sites/deptofanesthesiology</w:t>
        </w:r>
      </w:hyperlink>
      <w:r>
        <w:rPr>
          <w:i/>
        </w:rPr>
        <w:t>.</w:t>
      </w:r>
    </w:p>
    <w:p w14:paraId="5AAAEE03" w14:textId="5ED0FEBB" w:rsidR="006D5478" w:rsidRPr="006D5478" w:rsidRDefault="006D5478" w:rsidP="006D5478">
      <w:pPr>
        <w:pStyle w:val="NoSpacing"/>
      </w:pPr>
      <w:r>
        <w:rPr>
          <w:i/>
        </w:rPr>
        <w:t xml:space="preserve"> </w:t>
      </w:r>
    </w:p>
    <w:sectPr w:rsidR="006D5478" w:rsidRPr="006D5478" w:rsidSect="00386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9BB"/>
    <w:multiLevelType w:val="hybridMultilevel"/>
    <w:tmpl w:val="023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01781"/>
    <w:multiLevelType w:val="hybridMultilevel"/>
    <w:tmpl w:val="9EF6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1A43"/>
    <w:multiLevelType w:val="hybridMultilevel"/>
    <w:tmpl w:val="67CC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B2AF9"/>
    <w:multiLevelType w:val="hybridMultilevel"/>
    <w:tmpl w:val="5904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B282C"/>
    <w:multiLevelType w:val="hybridMultilevel"/>
    <w:tmpl w:val="C5B8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811D8"/>
    <w:multiLevelType w:val="hybridMultilevel"/>
    <w:tmpl w:val="9CC25BB8"/>
    <w:lvl w:ilvl="0" w:tplc="04090001">
      <w:start w:val="1"/>
      <w:numFmt w:val="bullet"/>
      <w:lvlText w:val=""/>
      <w:lvlJc w:val="left"/>
      <w:pPr>
        <w:ind w:left="720" w:hanging="360"/>
      </w:pPr>
      <w:rPr>
        <w:rFonts w:ascii="Symbol" w:hAnsi="Symbol" w:hint="default"/>
        <w:sz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152A72"/>
    <w:multiLevelType w:val="hybridMultilevel"/>
    <w:tmpl w:val="5EC64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D4AF3"/>
    <w:multiLevelType w:val="hybridMultilevel"/>
    <w:tmpl w:val="1564E53A"/>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12"/>
    <w:rsid w:val="00025F48"/>
    <w:rsid w:val="000B1A11"/>
    <w:rsid w:val="0013740F"/>
    <w:rsid w:val="0014366C"/>
    <w:rsid w:val="001C2651"/>
    <w:rsid w:val="001E585F"/>
    <w:rsid w:val="001F4278"/>
    <w:rsid w:val="002348CB"/>
    <w:rsid w:val="00247BAC"/>
    <w:rsid w:val="0025608C"/>
    <w:rsid w:val="0026255D"/>
    <w:rsid w:val="00291F78"/>
    <w:rsid w:val="002A0E92"/>
    <w:rsid w:val="002B03D3"/>
    <w:rsid w:val="002C15AE"/>
    <w:rsid w:val="002E4607"/>
    <w:rsid w:val="002F0ACB"/>
    <w:rsid w:val="003157CA"/>
    <w:rsid w:val="00383623"/>
    <w:rsid w:val="00386CF9"/>
    <w:rsid w:val="003B7F60"/>
    <w:rsid w:val="003F098A"/>
    <w:rsid w:val="004168F7"/>
    <w:rsid w:val="004252FA"/>
    <w:rsid w:val="00475BD1"/>
    <w:rsid w:val="0049503A"/>
    <w:rsid w:val="004E3EF3"/>
    <w:rsid w:val="004E4B43"/>
    <w:rsid w:val="004F135E"/>
    <w:rsid w:val="004F3FD0"/>
    <w:rsid w:val="00500516"/>
    <w:rsid w:val="00520F70"/>
    <w:rsid w:val="00537511"/>
    <w:rsid w:val="00570100"/>
    <w:rsid w:val="005A19B7"/>
    <w:rsid w:val="005B00FD"/>
    <w:rsid w:val="005E5EC9"/>
    <w:rsid w:val="00610B20"/>
    <w:rsid w:val="00612180"/>
    <w:rsid w:val="00635FA5"/>
    <w:rsid w:val="00636740"/>
    <w:rsid w:val="00655828"/>
    <w:rsid w:val="006707B2"/>
    <w:rsid w:val="006A50E1"/>
    <w:rsid w:val="006D5478"/>
    <w:rsid w:val="00712D34"/>
    <w:rsid w:val="00714BC9"/>
    <w:rsid w:val="00742B1F"/>
    <w:rsid w:val="0075510E"/>
    <w:rsid w:val="007A2A3B"/>
    <w:rsid w:val="007B47EE"/>
    <w:rsid w:val="008016B6"/>
    <w:rsid w:val="00803AFE"/>
    <w:rsid w:val="00813F4F"/>
    <w:rsid w:val="00840612"/>
    <w:rsid w:val="00851431"/>
    <w:rsid w:val="008F7C70"/>
    <w:rsid w:val="00923F47"/>
    <w:rsid w:val="0092443B"/>
    <w:rsid w:val="00945B36"/>
    <w:rsid w:val="00963F7C"/>
    <w:rsid w:val="0097535C"/>
    <w:rsid w:val="009A441B"/>
    <w:rsid w:val="009F2F03"/>
    <w:rsid w:val="00A24C56"/>
    <w:rsid w:val="00A57C0F"/>
    <w:rsid w:val="00AA33C7"/>
    <w:rsid w:val="00AB7F7A"/>
    <w:rsid w:val="00AF067F"/>
    <w:rsid w:val="00B07AF7"/>
    <w:rsid w:val="00B530E5"/>
    <w:rsid w:val="00BA1D6C"/>
    <w:rsid w:val="00BB7E79"/>
    <w:rsid w:val="00BD0F37"/>
    <w:rsid w:val="00C13D11"/>
    <w:rsid w:val="00C22728"/>
    <w:rsid w:val="00CB0812"/>
    <w:rsid w:val="00D539A6"/>
    <w:rsid w:val="00D70076"/>
    <w:rsid w:val="00DD6A47"/>
    <w:rsid w:val="00DE1708"/>
    <w:rsid w:val="00E154DE"/>
    <w:rsid w:val="00E33563"/>
    <w:rsid w:val="00E93902"/>
    <w:rsid w:val="00EC249C"/>
    <w:rsid w:val="00EC66BD"/>
    <w:rsid w:val="00EE284E"/>
    <w:rsid w:val="00EE2A59"/>
    <w:rsid w:val="00F46FF2"/>
    <w:rsid w:val="00F47167"/>
    <w:rsid w:val="00F673F2"/>
    <w:rsid w:val="00F75DD0"/>
    <w:rsid w:val="00F912C2"/>
    <w:rsid w:val="00FB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FD1"/>
  <w15:chartTrackingRefBased/>
  <w15:docId w15:val="{B5223FDC-A98D-4C59-B6F0-2059A4B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612"/>
    <w:pPr>
      <w:spacing w:after="0" w:line="240" w:lineRule="auto"/>
    </w:pPr>
  </w:style>
  <w:style w:type="paragraph" w:styleId="BalloonText">
    <w:name w:val="Balloon Text"/>
    <w:basedOn w:val="Normal"/>
    <w:link w:val="BalloonTextChar"/>
    <w:uiPriority w:val="99"/>
    <w:semiHidden/>
    <w:unhideWhenUsed/>
    <w:rsid w:val="005E5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EC9"/>
    <w:rPr>
      <w:rFonts w:ascii="Segoe UI" w:hAnsi="Segoe UI" w:cs="Segoe UI"/>
      <w:sz w:val="18"/>
      <w:szCs w:val="18"/>
    </w:rPr>
  </w:style>
  <w:style w:type="paragraph" w:customStyle="1" w:styleId="Default">
    <w:name w:val="Default"/>
    <w:rsid w:val="003F098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F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98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F4278"/>
    <w:pPr>
      <w:ind w:left="720"/>
    </w:pPr>
  </w:style>
  <w:style w:type="character" w:styleId="Hyperlink">
    <w:name w:val="Hyperlink"/>
    <w:basedOn w:val="DefaultParagraphFont"/>
    <w:uiPriority w:val="99"/>
    <w:unhideWhenUsed/>
    <w:rsid w:val="00D539A6"/>
    <w:rPr>
      <w:color w:val="0563C1" w:themeColor="hyperlink"/>
      <w:u w:val="single"/>
    </w:rPr>
  </w:style>
  <w:style w:type="character" w:customStyle="1" w:styleId="UnresolvedMention">
    <w:name w:val="Unresolved Mention"/>
    <w:basedOn w:val="DefaultParagraphFont"/>
    <w:uiPriority w:val="99"/>
    <w:semiHidden/>
    <w:unhideWhenUsed/>
    <w:rsid w:val="00D5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5857">
      <w:bodyDiv w:val="1"/>
      <w:marLeft w:val="0"/>
      <w:marRight w:val="0"/>
      <w:marTop w:val="0"/>
      <w:marBottom w:val="0"/>
      <w:divBdr>
        <w:top w:val="none" w:sz="0" w:space="0" w:color="auto"/>
        <w:left w:val="none" w:sz="0" w:space="0" w:color="auto"/>
        <w:bottom w:val="none" w:sz="0" w:space="0" w:color="auto"/>
        <w:right w:val="none" w:sz="0" w:space="0" w:color="auto"/>
      </w:divBdr>
    </w:div>
    <w:div w:id="699479308">
      <w:bodyDiv w:val="1"/>
      <w:marLeft w:val="0"/>
      <w:marRight w:val="0"/>
      <w:marTop w:val="0"/>
      <w:marBottom w:val="0"/>
      <w:divBdr>
        <w:top w:val="none" w:sz="0" w:space="0" w:color="auto"/>
        <w:left w:val="none" w:sz="0" w:space="0" w:color="auto"/>
        <w:bottom w:val="none" w:sz="0" w:space="0" w:color="auto"/>
        <w:right w:val="none" w:sz="0" w:space="0" w:color="auto"/>
      </w:divBdr>
    </w:div>
    <w:div w:id="1001347018">
      <w:bodyDiv w:val="1"/>
      <w:marLeft w:val="0"/>
      <w:marRight w:val="0"/>
      <w:marTop w:val="0"/>
      <w:marBottom w:val="0"/>
      <w:divBdr>
        <w:top w:val="none" w:sz="0" w:space="0" w:color="auto"/>
        <w:left w:val="none" w:sz="0" w:space="0" w:color="auto"/>
        <w:bottom w:val="none" w:sz="0" w:space="0" w:color="auto"/>
        <w:right w:val="none" w:sz="0" w:space="0" w:color="auto"/>
      </w:divBdr>
    </w:div>
    <w:div w:id="1033459827">
      <w:bodyDiv w:val="1"/>
      <w:marLeft w:val="0"/>
      <w:marRight w:val="0"/>
      <w:marTop w:val="0"/>
      <w:marBottom w:val="0"/>
      <w:divBdr>
        <w:top w:val="none" w:sz="0" w:space="0" w:color="auto"/>
        <w:left w:val="none" w:sz="0" w:space="0" w:color="auto"/>
        <w:bottom w:val="none" w:sz="0" w:space="0" w:color="auto"/>
        <w:right w:val="none" w:sz="0" w:space="0" w:color="auto"/>
      </w:divBdr>
    </w:div>
    <w:div w:id="1084187698">
      <w:bodyDiv w:val="1"/>
      <w:marLeft w:val="0"/>
      <w:marRight w:val="0"/>
      <w:marTop w:val="0"/>
      <w:marBottom w:val="0"/>
      <w:divBdr>
        <w:top w:val="none" w:sz="0" w:space="0" w:color="auto"/>
        <w:left w:val="none" w:sz="0" w:space="0" w:color="auto"/>
        <w:bottom w:val="none" w:sz="0" w:space="0" w:color="auto"/>
        <w:right w:val="none" w:sz="0" w:space="0" w:color="auto"/>
      </w:divBdr>
    </w:div>
    <w:div w:id="1142582770">
      <w:bodyDiv w:val="1"/>
      <w:marLeft w:val="0"/>
      <w:marRight w:val="0"/>
      <w:marTop w:val="0"/>
      <w:marBottom w:val="0"/>
      <w:divBdr>
        <w:top w:val="none" w:sz="0" w:space="0" w:color="auto"/>
        <w:left w:val="none" w:sz="0" w:space="0" w:color="auto"/>
        <w:bottom w:val="none" w:sz="0" w:space="0" w:color="auto"/>
        <w:right w:val="none" w:sz="0" w:space="0" w:color="auto"/>
      </w:divBdr>
    </w:div>
    <w:div w:id="1489206980">
      <w:bodyDiv w:val="1"/>
      <w:marLeft w:val="0"/>
      <w:marRight w:val="0"/>
      <w:marTop w:val="0"/>
      <w:marBottom w:val="0"/>
      <w:divBdr>
        <w:top w:val="none" w:sz="0" w:space="0" w:color="auto"/>
        <w:left w:val="none" w:sz="0" w:space="0" w:color="auto"/>
        <w:bottom w:val="none" w:sz="0" w:space="0" w:color="auto"/>
        <w:right w:val="none" w:sz="0" w:space="0" w:color="auto"/>
      </w:divBdr>
    </w:div>
    <w:div w:id="19988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nesthesi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swhealth.sharepoint.com/sites/deptofanesthe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08C9D84AEC5498D220C63A5781618" ma:contentTypeVersion="13" ma:contentTypeDescription="Create a new document." ma:contentTypeScope="" ma:versionID="a1e4de1d252de77049d3c5642e34f97d">
  <xsd:schema xmlns:xsd="http://www.w3.org/2001/XMLSchema" xmlns:xs="http://www.w3.org/2001/XMLSchema" xmlns:p="http://schemas.microsoft.com/office/2006/metadata/properties" xmlns:ns3="bd273250-40c9-42ab-b24e-aa6926906135" xmlns:ns4="b609d12f-e226-4727-896f-82d3b088c01e" targetNamespace="http://schemas.microsoft.com/office/2006/metadata/properties" ma:root="true" ma:fieldsID="21e18ab6fc369aa07aed528c50ba9d3c" ns3:_="" ns4:_="">
    <xsd:import namespace="bd273250-40c9-42ab-b24e-aa6926906135"/>
    <xsd:import namespace="b609d12f-e226-4727-896f-82d3b088c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73250-40c9-42ab-b24e-aa692690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9d12f-e226-4727-896f-82d3b088c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12234-8FCA-44F4-84F7-AF05548F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73250-40c9-42ab-b24e-aa6926906135"/>
    <ds:schemaRef ds:uri="b609d12f-e226-4727-896f-82d3b088c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F87A0-FC65-4754-B52B-F781CC469B65}">
  <ds:schemaRefs>
    <ds:schemaRef ds:uri="http://schemas.microsoft.com/sharepoint/v3/contenttype/forms"/>
  </ds:schemaRefs>
</ds:datastoreItem>
</file>

<file path=customXml/itemProps3.xml><?xml version="1.0" encoding="utf-8"?>
<ds:datastoreItem xmlns:ds="http://schemas.openxmlformats.org/officeDocument/2006/customXml" ds:itemID="{4B3177A7-28F9-4816-BC6B-2C3AA2660EE3}">
  <ds:schemaRefs>
    <ds:schemaRef ds:uri="http://purl.org/dc/elements/1.1/"/>
    <ds:schemaRef ds:uri="http://schemas.microsoft.com/office/2006/metadata/properties"/>
    <ds:schemaRef ds:uri="bd273250-40c9-42ab-b24e-aa6926906135"/>
    <ds:schemaRef ds:uri="http://purl.org/dc/terms/"/>
    <ds:schemaRef ds:uri="b609d12f-e226-4727-896f-82d3b088c01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Baylor Scott and White Health</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Vacula, Benjamin B M.D.</dc:creator>
  <cp:keywords/>
  <dc:description/>
  <cp:lastModifiedBy>Vacula, Benjamin B M.D.</cp:lastModifiedBy>
  <cp:revision>10</cp:revision>
  <cp:lastPrinted>2020-02-19T16:58:00Z</cp:lastPrinted>
  <dcterms:created xsi:type="dcterms:W3CDTF">2020-11-05T16:50:00Z</dcterms:created>
  <dcterms:modified xsi:type="dcterms:W3CDTF">2020-11-05T17:20:00Z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0x01010095608C9D84AEC5498D220C63A5781618</vt:lpwstr>
  </property>
</Properties>
</file>