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7F763" w14:textId="6C271EB2" w:rsidR="005E5EC9" w:rsidRDefault="004F135E" w:rsidP="005E5EC9">
      <w:pPr>
        <w:pStyle w:val="NoSpacing"/>
        <w:jc w:val="center"/>
      </w:pPr>
      <w:r>
        <w:t>FY</w:t>
      </w:r>
      <w:r w:rsidR="00F321D0">
        <w:t>21</w:t>
      </w:r>
      <w:r>
        <w:t xml:space="preserve"> </w:t>
      </w:r>
      <w:r w:rsidR="00537511">
        <w:t xml:space="preserve">Phys Comp </w:t>
      </w:r>
      <w:r w:rsidR="00CB3FDA">
        <w:t>149</w:t>
      </w:r>
      <w:r w:rsidR="00537511">
        <w:t>:</w:t>
      </w:r>
      <w:r w:rsidR="004252FA">
        <w:t xml:space="preserve"> Perioperative Temperature Management</w:t>
      </w:r>
      <w:r w:rsidR="00537511">
        <w:t xml:space="preserve"> </w:t>
      </w:r>
      <w:r w:rsidR="00CB3FDA">
        <w:t>Quality Measure</w:t>
      </w:r>
    </w:p>
    <w:p w14:paraId="238A3468" w14:textId="77777777" w:rsidR="005E5EC9" w:rsidRDefault="005E5EC9" w:rsidP="005E5EC9">
      <w:pPr>
        <w:pStyle w:val="NoSpacing"/>
        <w:jc w:val="center"/>
      </w:pPr>
      <w:r>
        <w:t>Dept. of Anesthesiology – BSW Central TX</w:t>
      </w:r>
    </w:p>
    <w:p w14:paraId="08095067" w14:textId="77777777" w:rsidR="0013740F" w:rsidRDefault="0013740F" w:rsidP="005E5EC9">
      <w:pPr>
        <w:pStyle w:val="NoSpacing"/>
        <w:jc w:val="center"/>
      </w:pPr>
    </w:p>
    <w:p w14:paraId="685E31FE" w14:textId="33438E1C" w:rsidR="0013740F" w:rsidRDefault="003F098A" w:rsidP="005E5EC9">
      <w:pPr>
        <w:pStyle w:val="NoSpacing"/>
        <w:jc w:val="center"/>
      </w:pPr>
      <w:r>
        <w:t xml:space="preserve">Revised </w:t>
      </w:r>
      <w:r w:rsidR="00CB0030">
        <w:t>11</w:t>
      </w:r>
      <w:r>
        <w:t>/</w:t>
      </w:r>
      <w:r w:rsidR="00CB0030">
        <w:t>05</w:t>
      </w:r>
      <w:r>
        <w:t>/</w:t>
      </w:r>
      <w:r w:rsidR="00E30E95">
        <w:t>20</w:t>
      </w:r>
      <w:r w:rsidR="00F321D0">
        <w:t>20</w:t>
      </w:r>
      <w:r>
        <w:t>: BBVacula</w:t>
      </w:r>
    </w:p>
    <w:p w14:paraId="00B0CE6B" w14:textId="77777777" w:rsidR="00840612" w:rsidRDefault="00840612" w:rsidP="00840612">
      <w:pPr>
        <w:pStyle w:val="NoSpacing"/>
        <w:rPr>
          <w:b/>
        </w:rPr>
      </w:pPr>
    </w:p>
    <w:p w14:paraId="19EB9CFD" w14:textId="77777777" w:rsidR="00CB0812" w:rsidRPr="00CB0812" w:rsidRDefault="00383623" w:rsidP="00840612">
      <w:pPr>
        <w:pStyle w:val="NoSpacing"/>
      </w:pPr>
      <w:r w:rsidRPr="00537511">
        <w:rPr>
          <w:b/>
        </w:rPr>
        <w:t>Title</w:t>
      </w:r>
      <w:r w:rsidR="00CB0812">
        <w:t xml:space="preserve">: </w:t>
      </w:r>
      <w:r w:rsidR="004252FA">
        <w:t>149</w:t>
      </w:r>
      <w:r w:rsidR="00C22728">
        <w:t xml:space="preserve">: </w:t>
      </w:r>
      <w:r w:rsidR="004252FA">
        <w:t>Perioperative Temperature Management</w:t>
      </w:r>
    </w:p>
    <w:p w14:paraId="7EF25FA3" w14:textId="77777777" w:rsidR="00CB0812" w:rsidRPr="00840612" w:rsidRDefault="00CB0812" w:rsidP="00840612">
      <w:pPr>
        <w:pStyle w:val="NoSpacing"/>
        <w:rPr>
          <w:b/>
        </w:rPr>
      </w:pPr>
    </w:p>
    <w:p w14:paraId="334BF1BB" w14:textId="77777777" w:rsidR="004252FA" w:rsidRDefault="00537511" w:rsidP="004252FA">
      <w:pPr>
        <w:autoSpaceDE w:val="0"/>
        <w:autoSpaceDN w:val="0"/>
        <w:rPr>
          <w:sz w:val="23"/>
          <w:szCs w:val="23"/>
        </w:rPr>
      </w:pPr>
      <w:r>
        <w:rPr>
          <w:b/>
        </w:rPr>
        <w:t>Description</w:t>
      </w:r>
      <w:r>
        <w:t>:</w:t>
      </w:r>
      <w:r w:rsidR="00840612">
        <w:t xml:space="preserve"> </w:t>
      </w:r>
      <w:r w:rsidR="00C22728">
        <w:t xml:space="preserve"> </w:t>
      </w:r>
      <w:r w:rsidR="004252FA">
        <w:rPr>
          <w:sz w:val="23"/>
          <w:szCs w:val="23"/>
        </w:rPr>
        <w:t xml:space="preserve">Percentage of patients, regardless of age, who undergo elective surgical or therapeutic </w:t>
      </w:r>
    </w:p>
    <w:p w14:paraId="03855865" w14:textId="77777777" w:rsidR="004252FA" w:rsidRPr="005A19B7" w:rsidRDefault="004252FA" w:rsidP="005A19B7">
      <w:pPr>
        <w:autoSpaceDE w:val="0"/>
        <w:autoSpaceDN w:val="0"/>
        <w:rPr>
          <w:sz w:val="23"/>
          <w:szCs w:val="23"/>
        </w:rPr>
      </w:pPr>
      <w:r>
        <w:rPr>
          <w:sz w:val="23"/>
          <w:szCs w:val="23"/>
        </w:rPr>
        <w:t xml:space="preserve">procedures under general or neuraxial anesthesia of 60 minutes duration or longer </w:t>
      </w:r>
      <w:r w:rsidRPr="005A19B7">
        <w:rPr>
          <w:bCs/>
          <w:sz w:val="23"/>
          <w:szCs w:val="23"/>
        </w:rPr>
        <w:t>(from Anesthesia start to Anesthesia end)</w:t>
      </w:r>
      <w:r w:rsidR="005A19B7" w:rsidRPr="005A19B7">
        <w:rPr>
          <w:sz w:val="23"/>
          <w:szCs w:val="23"/>
        </w:rPr>
        <w:t xml:space="preserve"> </w:t>
      </w:r>
      <w:r w:rsidRPr="005A19B7">
        <w:rPr>
          <w:sz w:val="23"/>
          <w:szCs w:val="23"/>
        </w:rPr>
        <w:t xml:space="preserve">for </w:t>
      </w:r>
      <w:r>
        <w:rPr>
          <w:sz w:val="23"/>
          <w:szCs w:val="23"/>
        </w:rPr>
        <w:t>whom at least one body temperature greater than or equal to 35.5 degrees Celsius (or 95.9 degrees Fahrenheit) was recorded</w:t>
      </w:r>
      <w:r w:rsidR="005A19B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within 30 minutes immediately before </w:t>
      </w:r>
      <w:r w:rsidR="005A19B7">
        <w:rPr>
          <w:sz w:val="23"/>
          <w:szCs w:val="23"/>
        </w:rPr>
        <w:t>to</w:t>
      </w:r>
      <w:r>
        <w:rPr>
          <w:sz w:val="23"/>
          <w:szCs w:val="23"/>
        </w:rPr>
        <w:t xml:space="preserve"> 15 minutes immediately after anesthesia end time.</w:t>
      </w:r>
    </w:p>
    <w:p w14:paraId="2D9CDCC8" w14:textId="77777777" w:rsidR="00EC249C" w:rsidRDefault="00EC249C" w:rsidP="00840612">
      <w:pPr>
        <w:pStyle w:val="NoSpacing"/>
      </w:pPr>
    </w:p>
    <w:p w14:paraId="75CEA012" w14:textId="77777777" w:rsidR="00FB524E" w:rsidRDefault="00FB524E" w:rsidP="00840612">
      <w:pPr>
        <w:pStyle w:val="NoSpacing"/>
      </w:pPr>
      <w:r w:rsidRPr="00537511">
        <w:rPr>
          <w:b/>
        </w:rPr>
        <w:t>Type</w:t>
      </w:r>
      <w:r>
        <w:t xml:space="preserve">: </w:t>
      </w:r>
      <w:r w:rsidR="00C22728">
        <w:t xml:space="preserve"> </w:t>
      </w:r>
      <w:r w:rsidR="001F4278">
        <w:t>Group outcome</w:t>
      </w:r>
      <w:r w:rsidR="0013740F">
        <w:t xml:space="preserve"> m</w:t>
      </w:r>
      <w:r w:rsidR="00C22728">
        <w:t>easure</w:t>
      </w:r>
      <w:r w:rsidR="001F4278">
        <w:t xml:space="preserve"> by region</w:t>
      </w:r>
    </w:p>
    <w:p w14:paraId="12DFD451" w14:textId="77777777" w:rsidR="00FB524E" w:rsidRDefault="00FB524E" w:rsidP="00840612">
      <w:pPr>
        <w:pStyle w:val="NoSpacing"/>
      </w:pPr>
    </w:p>
    <w:p w14:paraId="2FE0F1FB" w14:textId="77777777" w:rsidR="00537511" w:rsidRDefault="006A50E1" w:rsidP="00C22728">
      <w:pPr>
        <w:pStyle w:val="NoSpacing"/>
      </w:pPr>
      <w:r>
        <w:rPr>
          <w:b/>
        </w:rPr>
        <w:t>Rationale</w:t>
      </w:r>
      <w:r w:rsidR="00537511">
        <w:t xml:space="preserve">:  </w:t>
      </w:r>
      <w:r>
        <w:t xml:space="preserve">A drop in core temperature during surgery, unintended perioperative hypothermia, may occur in up to 20% of surgical patients and can result in numerous adverse effects.  These may include adverse myocardial outcomes, </w:t>
      </w:r>
      <w:r w:rsidR="00BA1D6C">
        <w:t>increased transfusion requirements</w:t>
      </w:r>
      <w:r>
        <w:t xml:space="preserve">, increased incidence of surgical site infection, and impaired wound healing.  The desired outcome, reduction in adverse surgical effects due to perioperative hypothermia, is affected by maintenance of normothermia </w:t>
      </w:r>
      <w:r w:rsidR="00BA1D6C">
        <w:t>perioperatively</w:t>
      </w:r>
      <w:r>
        <w:t xml:space="preserve">.  </w:t>
      </w:r>
    </w:p>
    <w:p w14:paraId="63AFF9C1" w14:textId="77777777" w:rsidR="00610B20" w:rsidRDefault="00610B20" w:rsidP="00C22728">
      <w:pPr>
        <w:pStyle w:val="NoSpacing"/>
      </w:pPr>
    </w:p>
    <w:p w14:paraId="710D5D91" w14:textId="32EA86A6" w:rsidR="001F4278" w:rsidRDefault="00FB524E" w:rsidP="005A19B7">
      <w:pPr>
        <w:autoSpaceDE w:val="0"/>
        <w:autoSpaceDN w:val="0"/>
        <w:rPr>
          <w:sz w:val="23"/>
          <w:szCs w:val="23"/>
        </w:rPr>
      </w:pPr>
      <w:r w:rsidRPr="00537511">
        <w:rPr>
          <w:b/>
        </w:rPr>
        <w:t>Denominator</w:t>
      </w:r>
      <w:r>
        <w:t>:</w:t>
      </w:r>
      <w:r w:rsidR="00C22728">
        <w:t xml:space="preserve">  </w:t>
      </w:r>
      <w:r w:rsidR="001F4278">
        <w:rPr>
          <w:sz w:val="23"/>
          <w:szCs w:val="23"/>
        </w:rPr>
        <w:t>All patients, regardless of age, who undergo elective surgical or therapeutic procedures under general or</w:t>
      </w:r>
      <w:r w:rsidR="005A19B7">
        <w:rPr>
          <w:sz w:val="23"/>
          <w:szCs w:val="23"/>
        </w:rPr>
        <w:t xml:space="preserve"> </w:t>
      </w:r>
      <w:r w:rsidR="001F4278">
        <w:rPr>
          <w:sz w:val="23"/>
          <w:szCs w:val="23"/>
        </w:rPr>
        <w:t>neuraxial a</w:t>
      </w:r>
      <w:r w:rsidR="00660DDB">
        <w:rPr>
          <w:sz w:val="23"/>
          <w:szCs w:val="23"/>
        </w:rPr>
        <w:t>nesthesia of 60 minutes</w:t>
      </w:r>
      <w:r w:rsidR="001F4278">
        <w:rPr>
          <w:sz w:val="23"/>
          <w:szCs w:val="23"/>
        </w:rPr>
        <w:t xml:space="preserve"> or longer.</w:t>
      </w:r>
    </w:p>
    <w:p w14:paraId="28CB7891" w14:textId="77777777" w:rsidR="00FB524E" w:rsidRDefault="00FB524E" w:rsidP="00840612">
      <w:pPr>
        <w:pStyle w:val="NoSpacing"/>
      </w:pPr>
      <w:r>
        <w:tab/>
      </w:r>
      <w:r>
        <w:tab/>
      </w:r>
    </w:p>
    <w:p w14:paraId="20DD13F1" w14:textId="77777777" w:rsidR="001F4278" w:rsidRDefault="00FB524E" w:rsidP="001F4278">
      <w:pPr>
        <w:autoSpaceDE w:val="0"/>
        <w:autoSpaceDN w:val="0"/>
        <w:rPr>
          <w:sz w:val="23"/>
          <w:szCs w:val="23"/>
        </w:rPr>
      </w:pPr>
      <w:r w:rsidRPr="00537511">
        <w:rPr>
          <w:b/>
        </w:rPr>
        <w:t>Numerator</w:t>
      </w:r>
      <w:r>
        <w:t>:</w:t>
      </w:r>
      <w:r w:rsidR="00C22728">
        <w:t xml:space="preserve">  </w:t>
      </w:r>
      <w:r w:rsidR="001F4278">
        <w:t xml:space="preserve">Patients </w:t>
      </w:r>
      <w:r w:rsidR="001F4278">
        <w:rPr>
          <w:sz w:val="23"/>
          <w:szCs w:val="23"/>
        </w:rPr>
        <w:t xml:space="preserve">for whom at least one body temperature greater than or equal to 35.5 degrees Celsius (or 95.9 degrees Fahrenheit) </w:t>
      </w:r>
      <w:r w:rsidR="005A19B7">
        <w:rPr>
          <w:sz w:val="23"/>
          <w:szCs w:val="23"/>
        </w:rPr>
        <w:t>is</w:t>
      </w:r>
      <w:r w:rsidR="001F4278">
        <w:rPr>
          <w:sz w:val="23"/>
          <w:szCs w:val="23"/>
        </w:rPr>
        <w:t xml:space="preserve"> recorded within 30 minutes immediately before </w:t>
      </w:r>
      <w:r w:rsidR="005A19B7">
        <w:rPr>
          <w:sz w:val="23"/>
          <w:szCs w:val="23"/>
        </w:rPr>
        <w:t>to</w:t>
      </w:r>
      <w:r w:rsidR="001F4278">
        <w:rPr>
          <w:sz w:val="23"/>
          <w:szCs w:val="23"/>
        </w:rPr>
        <w:t xml:space="preserve"> 15 minutes immediately after anesthesia end time.</w:t>
      </w:r>
    </w:p>
    <w:p w14:paraId="5C52C00B" w14:textId="77777777" w:rsidR="00FB524E" w:rsidRDefault="00FB524E" w:rsidP="00840612">
      <w:pPr>
        <w:pStyle w:val="NoSpacing"/>
      </w:pPr>
    </w:p>
    <w:p w14:paraId="6D9E4860" w14:textId="0EB97C76" w:rsidR="00FB524E" w:rsidRDefault="00A050B6" w:rsidP="00840612">
      <w:pPr>
        <w:pStyle w:val="NoSpacing"/>
      </w:pPr>
      <w:r>
        <w:rPr>
          <w:b/>
        </w:rPr>
        <w:t>Exclusions</w:t>
      </w:r>
      <w:r w:rsidR="00FB524E">
        <w:t>:</w:t>
      </w:r>
    </w:p>
    <w:p w14:paraId="2E5932B0" w14:textId="5DD9DC66" w:rsidR="00A050B6" w:rsidRPr="006F18E9" w:rsidRDefault="00A050B6" w:rsidP="006F18E9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 xml:space="preserve">Less than 60 minutes </w:t>
      </w:r>
      <w:r w:rsidR="001F4278">
        <w:rPr>
          <w:rFonts w:eastAsia="Times New Roman"/>
          <w:sz w:val="23"/>
          <w:szCs w:val="23"/>
        </w:rPr>
        <w:t>between anesthesia start and anesthesia end.</w:t>
      </w:r>
    </w:p>
    <w:p w14:paraId="263AD16F" w14:textId="6695C793" w:rsidR="001F4278" w:rsidRDefault="00A050B6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>MAC</w:t>
      </w:r>
    </w:p>
    <w:p w14:paraId="398161F9" w14:textId="1E5B1F1C" w:rsidR="001F4278" w:rsidRDefault="001F4278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>Regional (Peripheral Nerve B</w:t>
      </w:r>
      <w:r w:rsidR="00A050B6">
        <w:rPr>
          <w:rFonts w:eastAsia="Times New Roman"/>
          <w:sz w:val="23"/>
          <w:szCs w:val="23"/>
        </w:rPr>
        <w:t>lock)</w:t>
      </w:r>
    </w:p>
    <w:p w14:paraId="33984E59" w14:textId="47A3AF23" w:rsidR="001F4278" w:rsidRPr="00A050B6" w:rsidRDefault="00A050B6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>Emergent</w:t>
      </w:r>
    </w:p>
    <w:p w14:paraId="2A6C0687" w14:textId="57AA1E92" w:rsidR="00A050B6" w:rsidRPr="00A050B6" w:rsidRDefault="00A050B6" w:rsidP="00A050B6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>GI</w:t>
      </w:r>
    </w:p>
    <w:p w14:paraId="75026B58" w14:textId="77777777" w:rsidR="001F4278" w:rsidRDefault="001F4278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>Obstetric Operative Procedures (e.g. c-section, BTL) (CPT: 01968, 01969)</w:t>
      </w:r>
    </w:p>
    <w:p w14:paraId="78DD05F4" w14:textId="77777777" w:rsidR="001F4278" w:rsidRDefault="001F4278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>Obstetric Non-Operative Procedures (e.g. labor epidural, CSE, spinal) (CPT: 01958, 01960, 01967)</w:t>
      </w:r>
    </w:p>
    <w:p w14:paraId="523A4C90" w14:textId="77777777" w:rsidR="001F4278" w:rsidRDefault="001F4278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>Cardiac surgery (CPT: 00561, 00562, 00563, 00566, 00567, 00580, 01920)</w:t>
      </w:r>
    </w:p>
    <w:p w14:paraId="219811F2" w14:textId="029FCDB8" w:rsidR="001F4278" w:rsidRDefault="00A050B6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>I</w:t>
      </w:r>
      <w:r w:rsidR="001F4278">
        <w:rPr>
          <w:rFonts w:eastAsia="Times New Roman"/>
          <w:sz w:val="23"/>
          <w:szCs w:val="23"/>
        </w:rPr>
        <w:t>ntentional hypothermia</w:t>
      </w:r>
    </w:p>
    <w:p w14:paraId="7C4B32B9" w14:textId="17FAEFFF" w:rsidR="00A050B6" w:rsidRDefault="00A050B6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Radiation Oncology</w:t>
      </w:r>
    </w:p>
    <w:p w14:paraId="61F53E63" w14:textId="7CE87130" w:rsidR="001F4278" w:rsidRDefault="00A050B6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CT or </w:t>
      </w:r>
      <w:r w:rsidR="001F4278">
        <w:rPr>
          <w:rFonts w:eastAsia="Times New Roman"/>
        </w:rPr>
        <w:t>MRI</w:t>
      </w:r>
      <w:r>
        <w:rPr>
          <w:rFonts w:eastAsia="Times New Roman"/>
        </w:rPr>
        <w:t xml:space="preserve"> </w:t>
      </w:r>
    </w:p>
    <w:p w14:paraId="18675520" w14:textId="77777777" w:rsidR="001F4278" w:rsidRDefault="001F4278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>Acute Pain Management (e.g. APMS epidural) (CPT: 01996)</w:t>
      </w:r>
    </w:p>
    <w:p w14:paraId="4F397B73" w14:textId="77777777" w:rsidR="001F4278" w:rsidRDefault="001F4278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>Diagnostic arteriography/venography (CPT: 01916)</w:t>
      </w:r>
    </w:p>
    <w:p w14:paraId="6B41C7E9" w14:textId="77777777" w:rsidR="001F4278" w:rsidRDefault="001F4278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>Organ harvest (CPT: 01990)</w:t>
      </w:r>
    </w:p>
    <w:p w14:paraId="559F2D61" w14:textId="77777777" w:rsidR="001F4278" w:rsidRDefault="001F4278" w:rsidP="001F427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sz w:val="23"/>
          <w:szCs w:val="23"/>
        </w:rPr>
        <w:t>Anesthesia for diagnostic or therapeutic nerve blocks/injections (CPT: 01991, 01992)</w:t>
      </w:r>
    </w:p>
    <w:p w14:paraId="569CC644" w14:textId="77777777" w:rsidR="001F4278" w:rsidRDefault="001F4278" w:rsidP="00840612">
      <w:pPr>
        <w:pStyle w:val="NoSpacing"/>
      </w:pPr>
    </w:p>
    <w:p w14:paraId="035BBB35" w14:textId="5BC6A66F" w:rsidR="0092443B" w:rsidRPr="007B47EE" w:rsidRDefault="0092443B" w:rsidP="00840612">
      <w:pPr>
        <w:pStyle w:val="NoSpacing"/>
      </w:pPr>
      <w:r>
        <w:rPr>
          <w:b/>
        </w:rPr>
        <w:t>Baseline</w:t>
      </w:r>
      <w:r w:rsidR="004B20A2">
        <w:rPr>
          <w:b/>
        </w:rPr>
        <w:t xml:space="preserve">: </w:t>
      </w:r>
      <w:r w:rsidR="004B20A2">
        <w:t>96.2%</w:t>
      </w:r>
      <w:r w:rsidR="00F321D0">
        <w:rPr>
          <w:b/>
        </w:rPr>
        <w:t xml:space="preserve"> </w:t>
      </w:r>
      <w:r w:rsidR="00F321D0" w:rsidRPr="004B20A2">
        <w:t>(</w:t>
      </w:r>
      <w:r w:rsidR="00F321D0">
        <w:rPr>
          <w:bCs/>
        </w:rPr>
        <w:t>7/1/19</w:t>
      </w:r>
      <w:r w:rsidR="00EC66BD">
        <w:rPr>
          <w:bCs/>
        </w:rPr>
        <w:t xml:space="preserve"> – </w:t>
      </w:r>
      <w:r w:rsidR="00F321D0">
        <w:rPr>
          <w:bCs/>
        </w:rPr>
        <w:t>2/28/20</w:t>
      </w:r>
      <w:r w:rsidR="004B20A2">
        <w:rPr>
          <w:bCs/>
        </w:rPr>
        <w:t xml:space="preserve">: </w:t>
      </w:r>
      <w:r w:rsidR="004B20A2" w:rsidRPr="004B20A2">
        <w:t>COVID-excluded FY20 Performance</w:t>
      </w:r>
      <w:r w:rsidR="004B20A2">
        <w:t>)</w:t>
      </w:r>
    </w:p>
    <w:p w14:paraId="7129A496" w14:textId="77777777" w:rsidR="007B47EE" w:rsidRDefault="007B47EE" w:rsidP="00840612">
      <w:pPr>
        <w:pStyle w:val="NoSpacing"/>
        <w:rPr>
          <w:b/>
        </w:rPr>
      </w:pPr>
    </w:p>
    <w:p w14:paraId="6DF045C7" w14:textId="77777777" w:rsidR="00D81E3C" w:rsidRDefault="00D81E3C" w:rsidP="00C22728">
      <w:pPr>
        <w:pStyle w:val="NoSpacing"/>
        <w:rPr>
          <w:b/>
        </w:rPr>
      </w:pPr>
    </w:p>
    <w:p w14:paraId="124FBA14" w14:textId="77777777" w:rsidR="00D81E3C" w:rsidRDefault="00D81E3C" w:rsidP="00C22728">
      <w:pPr>
        <w:pStyle w:val="NoSpacing"/>
        <w:rPr>
          <w:b/>
        </w:rPr>
      </w:pPr>
    </w:p>
    <w:p w14:paraId="24AC8E4A" w14:textId="77777777" w:rsidR="00D81E3C" w:rsidRDefault="00D81E3C" w:rsidP="00C22728">
      <w:pPr>
        <w:pStyle w:val="NoSpacing"/>
        <w:rPr>
          <w:b/>
        </w:rPr>
      </w:pPr>
    </w:p>
    <w:p w14:paraId="4EE2C664" w14:textId="77777777" w:rsidR="00D81E3C" w:rsidRDefault="00D81E3C" w:rsidP="00C22728">
      <w:pPr>
        <w:pStyle w:val="NoSpacing"/>
        <w:rPr>
          <w:b/>
        </w:rPr>
      </w:pPr>
    </w:p>
    <w:p w14:paraId="659C0181" w14:textId="15E009C0" w:rsidR="006707B2" w:rsidRDefault="001C2651" w:rsidP="00C22728">
      <w:pPr>
        <w:pStyle w:val="NoSpacing"/>
      </w:pPr>
      <w:r>
        <w:rPr>
          <w:b/>
        </w:rPr>
        <w:lastRenderedPageBreak/>
        <w:t>Performance</w:t>
      </w:r>
      <w:r w:rsidR="00A24C56">
        <w:rPr>
          <w:b/>
        </w:rPr>
        <w:t xml:space="preserve"> Table</w:t>
      </w:r>
      <w:r w:rsidR="007B47EE">
        <w:t xml:space="preserve">:  </w:t>
      </w:r>
      <w:r w:rsidR="00EC66BD">
        <w:t xml:space="preserve">Approved </w:t>
      </w:r>
      <w:r w:rsidR="00F321D0">
        <w:t>9</w:t>
      </w:r>
      <w:r w:rsidR="00EC66BD">
        <w:t>/</w:t>
      </w:r>
      <w:r w:rsidR="00F321D0">
        <w:t>1/20</w:t>
      </w:r>
      <w:r w:rsidR="00EC66BD">
        <w:t xml:space="preserve"> </w:t>
      </w:r>
      <w:r w:rsidR="00A24C56">
        <w:t xml:space="preserve">and </w:t>
      </w:r>
      <w:r w:rsidR="003F098A">
        <w:rPr>
          <w:bCs/>
        </w:rPr>
        <w:t>to be averaged over 1</w:t>
      </w:r>
      <w:r w:rsidR="00F321D0">
        <w:rPr>
          <w:bCs/>
        </w:rPr>
        <w:t>0</w:t>
      </w:r>
      <w:r w:rsidR="00DD6A47">
        <w:rPr>
          <w:bCs/>
        </w:rPr>
        <w:t xml:space="preserve"> months</w:t>
      </w:r>
      <w:r w:rsidR="003F098A">
        <w:rPr>
          <w:bCs/>
        </w:rPr>
        <w:t xml:space="preserve">: </w:t>
      </w:r>
      <w:r w:rsidR="00CF6C8A">
        <w:rPr>
          <w:bCs/>
        </w:rPr>
        <w:t>9/1/20 -</w:t>
      </w:r>
      <w:r w:rsidR="00F321D0">
        <w:rPr>
          <w:bCs/>
        </w:rPr>
        <w:t xml:space="preserve"> 6/30/21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40"/>
      </w:tblGrid>
      <w:tr w:rsidR="008D7BF5" w14:paraId="5C39DB47" w14:textId="35CC9025" w:rsidTr="008D7BF5">
        <w:tc>
          <w:tcPr>
            <w:tcW w:w="2335" w:type="dxa"/>
          </w:tcPr>
          <w:p w14:paraId="2CF2AB2C" w14:textId="4884ECCE" w:rsidR="008D7BF5" w:rsidRPr="003F098A" w:rsidRDefault="008D7BF5" w:rsidP="001C2651">
            <w:pPr>
              <w:pStyle w:val="NoSpacing"/>
              <w:rPr>
                <w:b/>
              </w:rPr>
            </w:pPr>
            <w:r w:rsidRPr="003F098A">
              <w:rPr>
                <w:b/>
              </w:rPr>
              <w:t>Tier</w:t>
            </w:r>
          </w:p>
        </w:tc>
        <w:tc>
          <w:tcPr>
            <w:tcW w:w="2340" w:type="dxa"/>
          </w:tcPr>
          <w:p w14:paraId="749D93BE" w14:textId="77777777" w:rsidR="008D7BF5" w:rsidRPr="003F098A" w:rsidRDefault="008D7BF5" w:rsidP="001C2651">
            <w:pPr>
              <w:pStyle w:val="NoSpacing"/>
              <w:rPr>
                <w:b/>
              </w:rPr>
            </w:pPr>
            <w:r w:rsidRPr="003F098A">
              <w:rPr>
                <w:b/>
              </w:rPr>
              <w:t>Goal</w:t>
            </w:r>
            <w:r>
              <w:rPr>
                <w:b/>
              </w:rPr>
              <w:t xml:space="preserve"> (%)</w:t>
            </w:r>
          </w:p>
        </w:tc>
      </w:tr>
      <w:tr w:rsidR="008D7BF5" w14:paraId="76E3A93D" w14:textId="5E35EDE6" w:rsidTr="008D7BF5">
        <w:tc>
          <w:tcPr>
            <w:tcW w:w="2335" w:type="dxa"/>
          </w:tcPr>
          <w:p w14:paraId="329E2B5B" w14:textId="77777777" w:rsidR="008D7BF5" w:rsidRDefault="008D7BF5" w:rsidP="001C2651">
            <w:pPr>
              <w:pStyle w:val="NoSpacing"/>
            </w:pPr>
            <w:r>
              <w:t>Below Threshold</w:t>
            </w:r>
          </w:p>
        </w:tc>
        <w:tc>
          <w:tcPr>
            <w:tcW w:w="2340" w:type="dxa"/>
          </w:tcPr>
          <w:p w14:paraId="78F1FF7F" w14:textId="305C6CEC" w:rsidR="008D7BF5" w:rsidRPr="003F098A" w:rsidRDefault="008D7BF5" w:rsidP="001C2651">
            <w:pPr>
              <w:pStyle w:val="NoSpacing"/>
            </w:pPr>
            <w:r>
              <w:rPr>
                <w:u w:val="single"/>
              </w:rPr>
              <w:t>&lt;</w:t>
            </w:r>
            <w:r>
              <w:t>95.1</w:t>
            </w:r>
          </w:p>
        </w:tc>
      </w:tr>
      <w:tr w:rsidR="008D7BF5" w14:paraId="743A89B0" w14:textId="1D99AB3E" w:rsidTr="008D7BF5">
        <w:tc>
          <w:tcPr>
            <w:tcW w:w="2335" w:type="dxa"/>
          </w:tcPr>
          <w:p w14:paraId="407E5D7D" w14:textId="77777777" w:rsidR="008D7BF5" w:rsidRDefault="008D7BF5" w:rsidP="001C2651">
            <w:pPr>
              <w:pStyle w:val="NoSpacing"/>
            </w:pPr>
            <w:r>
              <w:t>Performing</w:t>
            </w:r>
          </w:p>
        </w:tc>
        <w:tc>
          <w:tcPr>
            <w:tcW w:w="2340" w:type="dxa"/>
          </w:tcPr>
          <w:p w14:paraId="4AD54EBD" w14:textId="6BE0F95D" w:rsidR="008D7BF5" w:rsidRDefault="008D7BF5" w:rsidP="001C2651">
            <w:pPr>
              <w:pStyle w:val="NoSpacing"/>
            </w:pPr>
            <w:r>
              <w:t>95.2 – 97.2</w:t>
            </w:r>
          </w:p>
        </w:tc>
      </w:tr>
      <w:tr w:rsidR="008D7BF5" w14:paraId="1D699B4F" w14:textId="7FF42902" w:rsidTr="008D7BF5">
        <w:tc>
          <w:tcPr>
            <w:tcW w:w="2335" w:type="dxa"/>
          </w:tcPr>
          <w:p w14:paraId="04C12DC3" w14:textId="77777777" w:rsidR="008D7BF5" w:rsidRDefault="008D7BF5" w:rsidP="001C2651">
            <w:pPr>
              <w:pStyle w:val="NoSpacing"/>
            </w:pPr>
            <w:r>
              <w:t>High Performing</w:t>
            </w:r>
          </w:p>
        </w:tc>
        <w:tc>
          <w:tcPr>
            <w:tcW w:w="2340" w:type="dxa"/>
          </w:tcPr>
          <w:p w14:paraId="02053908" w14:textId="5D1FA09D" w:rsidR="008D7BF5" w:rsidRPr="003F098A" w:rsidRDefault="008D7BF5" w:rsidP="001C2651">
            <w:pPr>
              <w:pStyle w:val="NoSpacing"/>
            </w:pPr>
            <w:r>
              <w:rPr>
                <w:u w:val="single"/>
              </w:rPr>
              <w:t>&gt;</w:t>
            </w:r>
            <w:r>
              <w:t>97.3</w:t>
            </w:r>
          </w:p>
        </w:tc>
      </w:tr>
    </w:tbl>
    <w:p w14:paraId="7777F067" w14:textId="77777777" w:rsidR="001C2651" w:rsidRDefault="001C2651" w:rsidP="00C22728">
      <w:pPr>
        <w:pStyle w:val="NoSpacing"/>
      </w:pPr>
    </w:p>
    <w:p w14:paraId="4F4E93EE" w14:textId="77777777" w:rsidR="00636740" w:rsidRDefault="00636740" w:rsidP="00636740">
      <w:pPr>
        <w:pStyle w:val="NoSpacing"/>
      </w:pPr>
      <w:r w:rsidRPr="00537511">
        <w:rPr>
          <w:b/>
        </w:rPr>
        <w:t>References</w:t>
      </w:r>
      <w:r>
        <w:t>:</w:t>
      </w:r>
    </w:p>
    <w:p w14:paraId="148DFCB0" w14:textId="77777777" w:rsidR="00D539A6" w:rsidRPr="00D81E3C" w:rsidRDefault="00D81E3C" w:rsidP="005A19B7">
      <w:pPr>
        <w:pStyle w:val="NoSpacing"/>
        <w:numPr>
          <w:ilvl w:val="0"/>
          <w:numId w:val="2"/>
        </w:numPr>
      </w:pPr>
      <w:hyperlink r:id="rId9" w:history="1">
        <w:r w:rsidR="00D539A6" w:rsidRPr="00D81E3C">
          <w:rPr>
            <w:rStyle w:val="Hyperlink"/>
          </w:rPr>
          <w:t>https://qpp.cms.gov/docs/QPP_quality_measure_specifications/Claims-Registry-Measures/2017_Measure_424_Registry.pdf</w:t>
        </w:r>
      </w:hyperlink>
    </w:p>
    <w:p w14:paraId="26239CA5" w14:textId="77777777" w:rsidR="00D539A6" w:rsidRPr="00D81E3C" w:rsidRDefault="00D81E3C" w:rsidP="00D539A6">
      <w:pPr>
        <w:pStyle w:val="NoSpacing"/>
        <w:numPr>
          <w:ilvl w:val="0"/>
          <w:numId w:val="2"/>
        </w:numPr>
      </w:pPr>
      <w:hyperlink r:id="rId10" w:history="1">
        <w:r w:rsidR="00D539A6" w:rsidRPr="00D81E3C">
          <w:rPr>
            <w:rStyle w:val="Hyperlink"/>
          </w:rPr>
          <w:t>https://mpog.org/files/quality/measures/TEMP-03.pdf</w:t>
        </w:r>
      </w:hyperlink>
      <w:r w:rsidR="00D539A6" w:rsidRPr="00D81E3C">
        <w:t xml:space="preserve"> </w:t>
      </w:r>
    </w:p>
    <w:p w14:paraId="3F3D1BF7" w14:textId="77777777" w:rsidR="00712D34" w:rsidRPr="00D81E3C" w:rsidRDefault="00712D34" w:rsidP="005A19B7">
      <w:pPr>
        <w:pStyle w:val="NoSpacing"/>
        <w:numPr>
          <w:ilvl w:val="0"/>
          <w:numId w:val="2"/>
        </w:numPr>
      </w:pPr>
      <w:r w:rsidRPr="00D81E3C">
        <w:t xml:space="preserve">Fleisher LA, Fleischmann KE, Auerbach AD, et al. 2014 ACC/AHA guideline on perioperative cardiovascular evaluation and management of patients undergoing noncardiac surgery: a report of the American College of Cardiology/American Heart Association Task Force on practice guidelines. </w:t>
      </w:r>
      <w:r w:rsidRPr="00D81E3C">
        <w:rPr>
          <w:iCs/>
        </w:rPr>
        <w:t>Journal of the American College of Cardiology.</w:t>
      </w:r>
      <w:r w:rsidRPr="00D81E3C">
        <w:rPr>
          <w:i/>
          <w:iCs/>
        </w:rPr>
        <w:t xml:space="preserve"> </w:t>
      </w:r>
      <w:r w:rsidRPr="00D81E3C">
        <w:t>2014;64(22):e77-137.</w:t>
      </w:r>
    </w:p>
    <w:p w14:paraId="2666AB26" w14:textId="77777777" w:rsidR="00712D34" w:rsidRPr="00D81E3C" w:rsidRDefault="00712D34" w:rsidP="005A19B7">
      <w:pPr>
        <w:pStyle w:val="NoSpacing"/>
        <w:numPr>
          <w:ilvl w:val="0"/>
          <w:numId w:val="2"/>
        </w:numPr>
      </w:pPr>
      <w:r w:rsidRPr="00D81E3C">
        <w:t xml:space="preserve">National Collaborating Centre for N, Supportive C. National Institute for Health and Clinical Excellence: Guidance. </w:t>
      </w:r>
      <w:r w:rsidRPr="00D81E3C">
        <w:rPr>
          <w:iCs/>
        </w:rPr>
        <w:t>The Management of Inadvertent Perioperative Hypothermia in Adults</w:t>
      </w:r>
      <w:r w:rsidRPr="00D81E3C">
        <w:t>. London: Royal College of Nursing (UK)National Collaborating Centre for Nursing and Supportive Care.; 2008.</w:t>
      </w:r>
    </w:p>
    <w:p w14:paraId="4BC0912B" w14:textId="77777777" w:rsidR="002E4607" w:rsidRPr="00D81E3C" w:rsidRDefault="00712D34" w:rsidP="005A19B7">
      <w:pPr>
        <w:pStyle w:val="NoSpacing"/>
        <w:numPr>
          <w:ilvl w:val="0"/>
          <w:numId w:val="2"/>
        </w:numPr>
      </w:pPr>
      <w:r w:rsidRPr="00D81E3C">
        <w:t xml:space="preserve">Kim P, Taghon T, Fetzer M, Tobias JD. Perioperative hypothermia in the pediatric population: a quality improvement project. </w:t>
      </w:r>
      <w:r w:rsidRPr="00D81E3C">
        <w:rPr>
          <w:iCs/>
        </w:rPr>
        <w:t>American journal of medical quality: the official journal of the American College of Medical Quality.</w:t>
      </w:r>
      <w:r w:rsidRPr="00D81E3C">
        <w:rPr>
          <w:i/>
          <w:iCs/>
        </w:rPr>
        <w:t xml:space="preserve"> </w:t>
      </w:r>
      <w:r w:rsidRPr="00D81E3C">
        <w:t>2013;28(5):400-406.</w:t>
      </w:r>
    </w:p>
    <w:p w14:paraId="358DF996" w14:textId="77777777" w:rsidR="005A19B7" w:rsidRPr="00D81E3C" w:rsidRDefault="005A19B7" w:rsidP="005A19B7">
      <w:pPr>
        <w:pStyle w:val="NoSpacing"/>
        <w:numPr>
          <w:ilvl w:val="0"/>
          <w:numId w:val="2"/>
        </w:numPr>
      </w:pPr>
      <w:r w:rsidRPr="00D81E3C">
        <w:t>Sessler DI. Temperature monitoring and perioperative thermoregulation. Anesthesiology. 2008;109(2):318-338.</w:t>
      </w:r>
    </w:p>
    <w:p w14:paraId="22ACB69A" w14:textId="77777777" w:rsidR="005A19B7" w:rsidRPr="00D81E3C" w:rsidRDefault="005A19B7" w:rsidP="005A19B7">
      <w:pPr>
        <w:pStyle w:val="NoSpacing"/>
        <w:numPr>
          <w:ilvl w:val="0"/>
          <w:numId w:val="2"/>
        </w:numPr>
      </w:pPr>
      <w:r w:rsidRPr="00D81E3C">
        <w:t>Sun Z, Honar H, Sessler DI, et al. Intraoperative core temperature patterns, transfusion requirement, and hospital duration in patients warmed with forced air. Anesthesiology. 2015;122(2):276-285.</w:t>
      </w:r>
    </w:p>
    <w:p w14:paraId="56E5F3E2" w14:textId="77777777" w:rsidR="005A19B7" w:rsidRPr="00D81E3C" w:rsidRDefault="005A19B7" w:rsidP="005A19B7">
      <w:pPr>
        <w:pStyle w:val="NoSpacing"/>
        <w:numPr>
          <w:ilvl w:val="0"/>
          <w:numId w:val="2"/>
        </w:numPr>
      </w:pPr>
      <w:r w:rsidRPr="00D81E3C">
        <w:t>Carpenter L, Baysinger CL. Maintaining perioperative normothermia in the patient undergoing cesa</w:t>
      </w:r>
      <w:r w:rsidR="007A2A3B" w:rsidRPr="00D81E3C">
        <w:t>rean delivery. Obstetrical &amp; gynecological survey. 2012;67(7):436-446.</w:t>
      </w:r>
    </w:p>
    <w:p w14:paraId="4EC9F8F2" w14:textId="77777777" w:rsidR="007A2A3B" w:rsidRPr="00D81E3C" w:rsidRDefault="006A50E1" w:rsidP="005A19B7">
      <w:pPr>
        <w:pStyle w:val="NoSpacing"/>
        <w:numPr>
          <w:ilvl w:val="0"/>
          <w:numId w:val="2"/>
        </w:numPr>
      </w:pPr>
      <w:r w:rsidRPr="00D81E3C">
        <w:t xml:space="preserve">Insler SR, </w:t>
      </w:r>
      <w:r w:rsidR="00AF067F" w:rsidRPr="00D81E3C">
        <w:t>S</w:t>
      </w:r>
      <w:r w:rsidRPr="00D81E3C">
        <w:t>essler DI. Perioperative thermoregulation and temperature monitoring. Anesthesiology clinics. 2006;24(4):823-837.</w:t>
      </w:r>
    </w:p>
    <w:p w14:paraId="35603F92" w14:textId="77777777" w:rsidR="006A50E1" w:rsidRPr="00D81E3C" w:rsidRDefault="006A50E1" w:rsidP="005A19B7">
      <w:pPr>
        <w:pStyle w:val="NoSpacing"/>
        <w:numPr>
          <w:ilvl w:val="0"/>
          <w:numId w:val="2"/>
        </w:numPr>
      </w:pPr>
      <w:r w:rsidRPr="00D81E3C">
        <w:t>Horn EP, Schroeder F, Gottschalk A, et al. Active warming during cesarean delivery. Anesthesia and analgesia. 2002;94(2):409-414, table of contents.</w:t>
      </w:r>
    </w:p>
    <w:p w14:paraId="48738DD8" w14:textId="62826537" w:rsidR="00D539A6" w:rsidRPr="00D81E3C" w:rsidRDefault="00D539A6" w:rsidP="005A19B7">
      <w:pPr>
        <w:pStyle w:val="NoSpacing"/>
        <w:numPr>
          <w:ilvl w:val="0"/>
          <w:numId w:val="2"/>
        </w:numPr>
      </w:pPr>
      <w:r w:rsidRPr="00D81E3C">
        <w:t xml:space="preserve">Yi J, Liang H, Song R, Xia H, Huang Y. Maintaining intraoperative normothermia reduces blood loss in patients undergoing major operations: a pilot randomized controlled clinical trial. </w:t>
      </w:r>
      <w:r w:rsidRPr="00D81E3C">
        <w:rPr>
          <w:iCs/>
        </w:rPr>
        <w:t>BMC anesthesiology.</w:t>
      </w:r>
      <w:r w:rsidRPr="00D81E3C">
        <w:rPr>
          <w:i/>
          <w:iCs/>
        </w:rPr>
        <w:t xml:space="preserve"> </w:t>
      </w:r>
      <w:r w:rsidRPr="00D81E3C">
        <w:t>2018;18(1):126.</w:t>
      </w:r>
    </w:p>
    <w:p w14:paraId="3F71D901" w14:textId="0B7E1BC5" w:rsidR="00297D44" w:rsidRDefault="00297D44" w:rsidP="00297D44">
      <w:pPr>
        <w:pStyle w:val="NoSpacing"/>
      </w:pPr>
    </w:p>
    <w:p w14:paraId="7FFBF89A" w14:textId="5C8F2A8A" w:rsidR="00297D44" w:rsidRDefault="00297D44" w:rsidP="00297D44">
      <w:pPr>
        <w:pStyle w:val="NoSpacing"/>
      </w:pPr>
      <w:r>
        <w:rPr>
          <w:b/>
        </w:rPr>
        <w:t>FAQ</w:t>
      </w:r>
      <w:r w:rsidR="008D7BF5">
        <w:rPr>
          <w:b/>
        </w:rPr>
        <w:t>s</w:t>
      </w:r>
      <w:r>
        <w:rPr>
          <w:b/>
        </w:rPr>
        <w:t>:</w:t>
      </w:r>
    </w:p>
    <w:p w14:paraId="7D0D298B" w14:textId="5B5C6B62" w:rsidR="00981A62" w:rsidRDefault="00981A62" w:rsidP="00981A62">
      <w:pPr>
        <w:pStyle w:val="NoSpacing"/>
        <w:numPr>
          <w:ilvl w:val="0"/>
          <w:numId w:val="4"/>
        </w:numPr>
      </w:pPr>
      <w:r>
        <w:t>Is GI included in the temperature measure?</w:t>
      </w:r>
    </w:p>
    <w:p w14:paraId="03908046" w14:textId="5AC04F75" w:rsidR="00981A62" w:rsidRPr="00981A62" w:rsidRDefault="00981A62" w:rsidP="00981A62">
      <w:pPr>
        <w:pStyle w:val="NoSpacing"/>
        <w:ind w:left="720"/>
        <w:rPr>
          <w:i/>
        </w:rPr>
      </w:pPr>
      <w:r>
        <w:rPr>
          <w:i/>
        </w:rPr>
        <w:t>No.  See Exclusions above.  All GI cases, including MAC and general anesthesia, are excluded.</w:t>
      </w:r>
    </w:p>
    <w:p w14:paraId="79E2B56E" w14:textId="77777777" w:rsidR="00981A62" w:rsidRDefault="00981A62" w:rsidP="00981A62">
      <w:pPr>
        <w:pStyle w:val="NoSpacing"/>
        <w:ind w:left="720"/>
      </w:pPr>
    </w:p>
    <w:p w14:paraId="17EAF012" w14:textId="77777777" w:rsidR="00981A62" w:rsidRDefault="00297D44" w:rsidP="00981A62">
      <w:pPr>
        <w:pStyle w:val="NoSpacing"/>
        <w:numPr>
          <w:ilvl w:val="0"/>
          <w:numId w:val="4"/>
        </w:numPr>
      </w:pPr>
      <w:r>
        <w:t>Does the assumption remain that all temp measurements are central temps and does that necessitate a change in department utilization of skin temp monitoring?</w:t>
      </w:r>
    </w:p>
    <w:p w14:paraId="44226D21" w14:textId="1378FDFC" w:rsidR="00AF2569" w:rsidRPr="00981A62" w:rsidRDefault="00297D44" w:rsidP="00981A62">
      <w:pPr>
        <w:pStyle w:val="NoSpacing"/>
        <w:ind w:left="720"/>
      </w:pPr>
      <w:r w:rsidRPr="00981A62">
        <w:rPr>
          <w:i/>
        </w:rPr>
        <w:t>Not all perioperative temperature m</w:t>
      </w:r>
      <w:r w:rsidR="00AF2569" w:rsidRPr="00981A62">
        <w:rPr>
          <w:i/>
        </w:rPr>
        <w:t>easurements are core body temperature although they are encouraged.</w:t>
      </w:r>
      <w:r w:rsidR="00981A62">
        <w:t xml:space="preserve">  </w:t>
      </w:r>
      <w:r w:rsidR="00AF2569">
        <w:rPr>
          <w:i/>
        </w:rPr>
        <w:t>When able and available, consider measuring intraop</w:t>
      </w:r>
      <w:r w:rsidR="00CA673F">
        <w:rPr>
          <w:i/>
        </w:rPr>
        <w:t xml:space="preserve"> core</w:t>
      </w:r>
      <w:r w:rsidR="00AF2569">
        <w:rPr>
          <w:i/>
        </w:rPr>
        <w:t xml:space="preserve"> temperature from a urinary foley equipped with temperature probe, esophageal temp probe, or nasopharyngeal probe.</w:t>
      </w:r>
      <w:r w:rsidR="00981A62">
        <w:t xml:space="preserve">  </w:t>
      </w:r>
      <w:r w:rsidR="00AF2569">
        <w:rPr>
          <w:i/>
        </w:rPr>
        <w:t>PACU temperature is routinely measured using a facial skin temperature device.</w:t>
      </w:r>
    </w:p>
    <w:p w14:paraId="37BCBFD3" w14:textId="60730A63" w:rsidR="00297D44" w:rsidRDefault="00AF2569" w:rsidP="00981A62">
      <w:pPr>
        <w:pStyle w:val="NoSpacing"/>
        <w:ind w:left="720"/>
      </w:pPr>
      <w:r>
        <w:rPr>
          <w:i/>
        </w:rPr>
        <w:t>Al</w:t>
      </w:r>
      <w:r w:rsidR="00297D44">
        <w:rPr>
          <w:i/>
        </w:rPr>
        <w:t>though one of the goals of quality improvement is to standardize practice</w:t>
      </w:r>
      <w:r w:rsidR="003C2816">
        <w:rPr>
          <w:i/>
        </w:rPr>
        <w:t>, adjustments may be made</w:t>
      </w:r>
      <w:r>
        <w:rPr>
          <w:i/>
        </w:rPr>
        <w:t xml:space="preserve"> to accommodate </w:t>
      </w:r>
      <w:r w:rsidR="003C2816">
        <w:rPr>
          <w:i/>
        </w:rPr>
        <w:t>patient, e</w:t>
      </w:r>
      <w:r w:rsidR="00055F8B">
        <w:rPr>
          <w:i/>
        </w:rPr>
        <w:t>nvironmental, or other factors.</w:t>
      </w:r>
    </w:p>
    <w:p w14:paraId="7DCFCC55" w14:textId="02387850" w:rsidR="00CB0030" w:rsidRDefault="00CB0030" w:rsidP="00CB0030">
      <w:pPr>
        <w:pStyle w:val="NoSpacing"/>
      </w:pPr>
    </w:p>
    <w:p w14:paraId="03C24BFD" w14:textId="2DEB7252" w:rsidR="00CB0030" w:rsidRDefault="00CB0030" w:rsidP="00CB0030">
      <w:pPr>
        <w:pStyle w:val="NoSpacing"/>
        <w:numPr>
          <w:ilvl w:val="0"/>
          <w:numId w:val="4"/>
        </w:numPr>
      </w:pPr>
      <w:r>
        <w:t>How are exceptions to be documented?</w:t>
      </w:r>
    </w:p>
    <w:p w14:paraId="441076E4" w14:textId="77777777" w:rsidR="003455CF" w:rsidRDefault="00CB0030" w:rsidP="003455CF">
      <w:pPr>
        <w:pStyle w:val="NoSpacing"/>
        <w:ind w:left="720"/>
      </w:pPr>
      <w:r>
        <w:rPr>
          <w:i/>
        </w:rPr>
        <w:t xml:space="preserve">To standardize documentation for review, exceptions should be documented in a SCIP Note (e.g. “Active, forced air warming was not used do to surgeon preference.”). </w:t>
      </w:r>
    </w:p>
    <w:p w14:paraId="1A6CEE4F" w14:textId="77777777" w:rsidR="003455CF" w:rsidRDefault="003455CF" w:rsidP="003455CF">
      <w:pPr>
        <w:pStyle w:val="NoSpacing"/>
        <w:ind w:left="720"/>
      </w:pPr>
    </w:p>
    <w:p w14:paraId="4F6348CE" w14:textId="7519F7FB" w:rsidR="003455CF" w:rsidRDefault="00CB0030" w:rsidP="003455CF">
      <w:pPr>
        <w:pStyle w:val="NoSpacing"/>
        <w:numPr>
          <w:ilvl w:val="0"/>
          <w:numId w:val="4"/>
        </w:numPr>
      </w:pPr>
      <w:r>
        <w:t>Where will these guidelines be posted?</w:t>
      </w:r>
    </w:p>
    <w:p w14:paraId="6412462A" w14:textId="266AAE57" w:rsidR="003455CF" w:rsidRPr="003455CF" w:rsidRDefault="003455CF" w:rsidP="003455CF">
      <w:pPr>
        <w:pStyle w:val="NoSpacing"/>
        <w:ind w:left="720"/>
      </w:pPr>
      <w:r w:rsidRPr="003455CF">
        <w:rPr>
          <w:i/>
        </w:rPr>
        <w:t>When finalized, it should be posted</w:t>
      </w:r>
      <w:r w:rsidR="00D81E3C">
        <w:rPr>
          <w:i/>
        </w:rPr>
        <w:t xml:space="preserve"> to</w:t>
      </w:r>
      <w:r w:rsidRPr="003455CF">
        <w:rPr>
          <w:i/>
        </w:rPr>
        <w:t xml:space="preserve"> </w:t>
      </w:r>
      <w:hyperlink r:id="rId11" w:history="1">
        <w:r w:rsidRPr="003455CF">
          <w:rPr>
            <w:rStyle w:val="Hyperlink"/>
            <w:i/>
          </w:rPr>
          <w:t>http://sw-anesthesia.com</w:t>
        </w:r>
      </w:hyperlink>
      <w:r w:rsidRPr="003455CF">
        <w:rPr>
          <w:i/>
        </w:rPr>
        <w:t>.  When the new departmental SharePoint website g</w:t>
      </w:r>
      <w:r w:rsidR="00D81E3C">
        <w:rPr>
          <w:i/>
        </w:rPr>
        <w:t>oes live, it should be at</w:t>
      </w:r>
      <w:r w:rsidRPr="003455CF">
        <w:rPr>
          <w:i/>
        </w:rPr>
        <w:t xml:space="preserve"> </w:t>
      </w:r>
      <w:bookmarkStart w:id="0" w:name="_GoBack"/>
      <w:bookmarkEnd w:id="0"/>
      <w:r w:rsidRPr="003455CF">
        <w:rPr>
          <w:i/>
        </w:rPr>
        <w:fldChar w:fldCharType="begin"/>
      </w:r>
      <w:r w:rsidRPr="003455CF">
        <w:rPr>
          <w:i/>
        </w:rPr>
        <w:instrText xml:space="preserve"> HYPERLINK "https://bswhealth.sharepoint.com/sites/deptofanesthesiology" </w:instrText>
      </w:r>
      <w:r w:rsidRPr="003455CF">
        <w:rPr>
          <w:i/>
        </w:rPr>
        <w:fldChar w:fldCharType="separate"/>
      </w:r>
      <w:r w:rsidRPr="003455CF">
        <w:rPr>
          <w:rStyle w:val="Hyperlink"/>
          <w:i/>
        </w:rPr>
        <w:t>https://bswhealth.sharepoint.com/sites/deptofanesthesiology</w:t>
      </w:r>
      <w:r w:rsidRPr="003455CF">
        <w:rPr>
          <w:i/>
        </w:rPr>
        <w:fldChar w:fldCharType="end"/>
      </w:r>
      <w:r w:rsidRPr="003455CF">
        <w:rPr>
          <w:i/>
        </w:rPr>
        <w:t>.</w:t>
      </w:r>
    </w:p>
    <w:p w14:paraId="6085E833" w14:textId="4EBDD7F2" w:rsidR="00CB0030" w:rsidRPr="00CB0030" w:rsidRDefault="00CB0030" w:rsidP="003455CF">
      <w:pPr>
        <w:pStyle w:val="NoSpacing"/>
        <w:ind w:left="720"/>
      </w:pPr>
    </w:p>
    <w:sectPr w:rsidR="00CB0030" w:rsidRPr="00CB0030" w:rsidSect="00D81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2AF9"/>
    <w:multiLevelType w:val="hybridMultilevel"/>
    <w:tmpl w:val="59048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B282C"/>
    <w:multiLevelType w:val="hybridMultilevel"/>
    <w:tmpl w:val="C5B8C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811D8"/>
    <w:multiLevelType w:val="hybridMultilevel"/>
    <w:tmpl w:val="9CC2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D4AF3"/>
    <w:multiLevelType w:val="hybridMultilevel"/>
    <w:tmpl w:val="1564E53A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12"/>
    <w:rsid w:val="00025F48"/>
    <w:rsid w:val="00055F8B"/>
    <w:rsid w:val="000B1A11"/>
    <w:rsid w:val="0013740F"/>
    <w:rsid w:val="0014366C"/>
    <w:rsid w:val="001C2651"/>
    <w:rsid w:val="001F4278"/>
    <w:rsid w:val="00247BAC"/>
    <w:rsid w:val="0025608C"/>
    <w:rsid w:val="0026255D"/>
    <w:rsid w:val="002826A0"/>
    <w:rsid w:val="00290234"/>
    <w:rsid w:val="00291F78"/>
    <w:rsid w:val="00297D44"/>
    <w:rsid w:val="002B03D3"/>
    <w:rsid w:val="002E4607"/>
    <w:rsid w:val="00312A14"/>
    <w:rsid w:val="003455CF"/>
    <w:rsid w:val="00383623"/>
    <w:rsid w:val="003C2816"/>
    <w:rsid w:val="003F098A"/>
    <w:rsid w:val="004252FA"/>
    <w:rsid w:val="004B20A2"/>
    <w:rsid w:val="004F135E"/>
    <w:rsid w:val="00537511"/>
    <w:rsid w:val="00597383"/>
    <w:rsid w:val="005A19B7"/>
    <w:rsid w:val="005B00FD"/>
    <w:rsid w:val="005E5EC9"/>
    <w:rsid w:val="00610B20"/>
    <w:rsid w:val="00636740"/>
    <w:rsid w:val="00660DDB"/>
    <w:rsid w:val="006707B2"/>
    <w:rsid w:val="006A50E1"/>
    <w:rsid w:val="006F18E9"/>
    <w:rsid w:val="00712D34"/>
    <w:rsid w:val="007A2A3B"/>
    <w:rsid w:val="007B47EE"/>
    <w:rsid w:val="00840612"/>
    <w:rsid w:val="008D7BF5"/>
    <w:rsid w:val="0092443B"/>
    <w:rsid w:val="00963F7C"/>
    <w:rsid w:val="00981A62"/>
    <w:rsid w:val="009F2F03"/>
    <w:rsid w:val="00A050B6"/>
    <w:rsid w:val="00A2161B"/>
    <w:rsid w:val="00A24C56"/>
    <w:rsid w:val="00A435D3"/>
    <w:rsid w:val="00AA33C7"/>
    <w:rsid w:val="00AB7F7A"/>
    <w:rsid w:val="00AF067F"/>
    <w:rsid w:val="00AF2569"/>
    <w:rsid w:val="00B07AF7"/>
    <w:rsid w:val="00BA1D6C"/>
    <w:rsid w:val="00BD0F37"/>
    <w:rsid w:val="00C13D11"/>
    <w:rsid w:val="00C22728"/>
    <w:rsid w:val="00C6582F"/>
    <w:rsid w:val="00CA673F"/>
    <w:rsid w:val="00CB0030"/>
    <w:rsid w:val="00CB0812"/>
    <w:rsid w:val="00CB3FDA"/>
    <w:rsid w:val="00CF6C8A"/>
    <w:rsid w:val="00D539A6"/>
    <w:rsid w:val="00D81E3C"/>
    <w:rsid w:val="00DD6A47"/>
    <w:rsid w:val="00E154DE"/>
    <w:rsid w:val="00E30E95"/>
    <w:rsid w:val="00EC249C"/>
    <w:rsid w:val="00EC66BD"/>
    <w:rsid w:val="00EE2A59"/>
    <w:rsid w:val="00F321D0"/>
    <w:rsid w:val="00F673F2"/>
    <w:rsid w:val="00F912C2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0D99"/>
  <w15:chartTrackingRefBased/>
  <w15:docId w15:val="{B5223FDC-A98D-4C59-B6F0-2059A4B5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2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6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09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09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4278"/>
    <w:pPr>
      <w:ind w:left="720"/>
    </w:pPr>
  </w:style>
  <w:style w:type="character" w:styleId="Hyperlink">
    <w:name w:val="Hyperlink"/>
    <w:basedOn w:val="DefaultParagraphFont"/>
    <w:uiPriority w:val="99"/>
    <w:unhideWhenUsed/>
    <w:rsid w:val="00D539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3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w-anesthesia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mpog.org/files/quality/measures/TEMP-03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qpp.cms.gov/docs/QPP_quality_measure_specifications/Claims-Registry-Measures/2017_Measure_424_Regist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08C9D84AEC5498D220C63A5781618" ma:contentTypeVersion="13" ma:contentTypeDescription="Create a new document." ma:contentTypeScope="" ma:versionID="a1e4de1d252de77049d3c5642e34f97d">
  <xsd:schema xmlns:xsd="http://www.w3.org/2001/XMLSchema" xmlns:xs="http://www.w3.org/2001/XMLSchema" xmlns:p="http://schemas.microsoft.com/office/2006/metadata/properties" xmlns:ns3="bd273250-40c9-42ab-b24e-aa6926906135" xmlns:ns4="b609d12f-e226-4727-896f-82d3b088c01e" targetNamespace="http://schemas.microsoft.com/office/2006/metadata/properties" ma:root="true" ma:fieldsID="21e18ab6fc369aa07aed528c50ba9d3c" ns3:_="" ns4:_="">
    <xsd:import namespace="bd273250-40c9-42ab-b24e-aa6926906135"/>
    <xsd:import namespace="b609d12f-e226-4727-896f-82d3b088c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73250-40c9-42ab-b24e-aa6926906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9d12f-e226-4727-896f-82d3b088c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F291-ACF3-473B-A493-5D8908604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73250-40c9-42ab-b24e-aa6926906135"/>
    <ds:schemaRef ds:uri="b609d12f-e226-4727-896f-82d3b088c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1FD24-65E2-4083-8A92-5CEE2B485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0B2B1-ED8D-478F-A33B-3DBB80205D78}">
  <ds:schemaRefs>
    <ds:schemaRef ds:uri="http://schemas.microsoft.com/office/2006/metadata/properties"/>
    <ds:schemaRef ds:uri="bd273250-40c9-42ab-b24e-aa6926906135"/>
    <ds:schemaRef ds:uri="http://purl.org/dc/terms/"/>
    <ds:schemaRef ds:uri="b609d12f-e226-4727-896f-82d3b088c01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27F9E3-69D0-45DF-9850-A8A8A018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Vacula, Benjamin B M.D.</dc:creator>
  <cp:keywords/>
  <dc:description/>
  <cp:lastModifiedBy>Vacula, Benjamin B M.D.</cp:lastModifiedBy>
  <cp:revision>5</cp:revision>
  <cp:lastPrinted>2018-07-17T21:21:00Z</cp:lastPrinted>
  <dcterms:created xsi:type="dcterms:W3CDTF">2020-11-05T15:56:00Z</dcterms:created>
  <dcterms:modified xsi:type="dcterms:W3CDTF">2020-11-05T16:57:00Z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0x01010095608C9D84AEC5498D220C63A5781618</vt:lpwstr>
  </property>
</Properties>
</file>